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90C2" w14:textId="5EC71F5D" w:rsidR="00ED785F" w:rsidRDefault="00ED785F" w:rsidP="002B029D">
      <w:pPr>
        <w:pStyle w:val="Heading1"/>
        <w:spacing w:before="0" w:after="0" w:line="240" w:lineRule="auto"/>
        <w:rPr>
          <w:sz w:val="28"/>
        </w:rPr>
      </w:pPr>
      <w:bookmarkStart w:id="0" w:name="_Toc408410515"/>
      <w:bookmarkStart w:id="1" w:name="_Toc408495710"/>
      <w:bookmarkStart w:id="2" w:name="_Toc409431201"/>
      <w:bookmarkStart w:id="3" w:name="_Toc409520934"/>
    </w:p>
    <w:p w14:paraId="201BAB48" w14:textId="7200E4B6" w:rsidR="00ED785F" w:rsidRDefault="00ED785F" w:rsidP="00ED785F">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69092D4C" wp14:editId="01BE0636">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059738856"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38856"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22B8DD17" w14:textId="6086A77F" w:rsidR="00ED785F" w:rsidRDefault="00ED785F" w:rsidP="00ED785F">
      <w:pPr>
        <w:pStyle w:val="Heading1"/>
        <w:spacing w:before="0" w:after="0" w:line="240" w:lineRule="auto"/>
        <w:jc w:val="center"/>
        <w:rPr>
          <w:sz w:val="28"/>
        </w:rPr>
      </w:pPr>
      <w:r>
        <w:rPr>
          <w:rFonts w:ascii="Gill Sans MT" w:hAnsi="Gill Sans MT"/>
          <w:b w:val="0"/>
          <w:bCs w:val="0"/>
          <w:color w:val="0000FF"/>
          <w:sz w:val="28"/>
        </w:rPr>
        <w:t xml:space="preserve">          </w:t>
      </w:r>
    </w:p>
    <w:p w14:paraId="7A9F6777" w14:textId="77777777" w:rsidR="00ED785F" w:rsidRDefault="00ED785F" w:rsidP="003B532C">
      <w:pPr>
        <w:pStyle w:val="Heading1"/>
        <w:spacing w:before="0" w:after="0" w:line="240" w:lineRule="auto"/>
        <w:jc w:val="center"/>
        <w:rPr>
          <w:sz w:val="28"/>
        </w:rPr>
      </w:pPr>
    </w:p>
    <w:p w14:paraId="09F83C66" w14:textId="29068815" w:rsidR="00410DEF" w:rsidRPr="00944872" w:rsidRDefault="00944872" w:rsidP="003B532C">
      <w:pPr>
        <w:pStyle w:val="Heading1"/>
        <w:spacing w:before="0" w:after="0" w:line="240" w:lineRule="auto"/>
        <w:jc w:val="center"/>
        <w:rPr>
          <w:b w:val="0"/>
          <w:bCs w:val="0"/>
          <w:sz w:val="28"/>
        </w:rPr>
      </w:pPr>
      <w:r w:rsidRPr="00884E2C">
        <w:rPr>
          <w:sz w:val="28"/>
        </w:rPr>
        <w:t>DISCLOSURE AND BARRING SERVICE (DBS)</w:t>
      </w:r>
      <w:bookmarkEnd w:id="0"/>
      <w:bookmarkEnd w:id="1"/>
      <w:bookmarkEnd w:id="2"/>
      <w:bookmarkEnd w:id="3"/>
      <w:r w:rsidRPr="00884E2C">
        <w:rPr>
          <w:sz w:val="28"/>
        </w:rPr>
        <w:t xml:space="preserve"> </w:t>
      </w:r>
      <w:r w:rsidR="00DF0BD4">
        <w:rPr>
          <w:sz w:val="28"/>
        </w:rPr>
        <w:t>AND</w:t>
      </w:r>
      <w:r w:rsidRPr="00884E2C">
        <w:rPr>
          <w:sz w:val="28"/>
        </w:rPr>
        <w:t xml:space="preserve"> (DBS) REFERRAL</w:t>
      </w:r>
    </w:p>
    <w:p w14:paraId="42C6E9DA" w14:textId="16C93454" w:rsidR="00A61A71" w:rsidRDefault="00B14A79" w:rsidP="00D97F62">
      <w:pPr>
        <w:pStyle w:val="WPHeading"/>
      </w:pPr>
      <w:r w:rsidRPr="00B14A79">
        <w:t>Scope</w:t>
      </w:r>
    </w:p>
    <w:p w14:paraId="3FE92DFE" w14:textId="203071A0" w:rsidR="00B7150E" w:rsidRDefault="00B7150E" w:rsidP="002D1A16">
      <w:pPr>
        <w:pStyle w:val="ListParagraph"/>
        <w:keepNext/>
        <w:keepLines/>
        <w:widowControl w:val="0"/>
        <w:numPr>
          <w:ilvl w:val="0"/>
          <w:numId w:val="1"/>
        </w:numPr>
        <w:suppressAutoHyphens/>
        <w:autoSpaceDN w:val="0"/>
        <w:textAlignment w:val="baseline"/>
        <w:outlineLvl w:val="0"/>
        <w:rPr>
          <w:rFonts w:ascii="Arial" w:eastAsia="HGGothicM" w:hAnsi="Arial" w:cs="Arial"/>
          <w:b/>
          <w:bCs/>
          <w:color w:val="000000" w:themeColor="text1"/>
          <w:sz w:val="24"/>
          <w:szCs w:val="24"/>
          <w:lang w:bidi="en-US"/>
        </w:rPr>
      </w:pPr>
      <w:r>
        <w:rPr>
          <w:rFonts w:ascii="Arial" w:eastAsia="HGGothicM" w:hAnsi="Arial" w:cs="Arial"/>
          <w:b/>
          <w:bCs/>
          <w:color w:val="000000" w:themeColor="text1"/>
          <w:sz w:val="24"/>
          <w:szCs w:val="24"/>
          <w:lang w:bidi="en-US"/>
        </w:rPr>
        <w:t>Policy Statement</w:t>
      </w:r>
    </w:p>
    <w:p w14:paraId="7D83D1E6" w14:textId="4B6EF6A6" w:rsidR="00F51A86" w:rsidRPr="00884E2C" w:rsidRDefault="00F51A86" w:rsidP="002D1A16">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sidRPr="00884E2C">
        <w:rPr>
          <w:rFonts w:ascii="Arial" w:eastAsia="HGGothicM" w:hAnsi="Arial" w:cs="Arial"/>
          <w:bCs/>
          <w:color w:val="000000" w:themeColor="text1"/>
          <w:sz w:val="24"/>
          <w:szCs w:val="24"/>
          <w:lang w:bidi="en-US"/>
        </w:rPr>
        <w:t>Overview</w:t>
      </w:r>
    </w:p>
    <w:p w14:paraId="7AF908B5" w14:textId="6C637BB8" w:rsidR="00F51A86" w:rsidRPr="00884E2C" w:rsidRDefault="00F51A86" w:rsidP="002D1A16">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sidRPr="00884E2C">
        <w:rPr>
          <w:rFonts w:ascii="Arial" w:eastAsia="HGGothicM" w:hAnsi="Arial" w:cs="Arial"/>
          <w:bCs/>
          <w:color w:val="000000" w:themeColor="text1"/>
          <w:sz w:val="24"/>
          <w:szCs w:val="24"/>
          <w:lang w:bidi="en-US"/>
        </w:rPr>
        <w:t>Exempted Questions</w:t>
      </w:r>
    </w:p>
    <w:p w14:paraId="67AD1032" w14:textId="69AF744A" w:rsidR="00FC505D" w:rsidRDefault="00090B3F" w:rsidP="00985C79">
      <w:pPr>
        <w:pStyle w:val="ListParagraph"/>
        <w:keepNext/>
        <w:keepLines/>
        <w:widowControl w:val="0"/>
        <w:numPr>
          <w:ilvl w:val="0"/>
          <w:numId w:val="1"/>
        </w:numPr>
        <w:suppressAutoHyphens/>
        <w:autoSpaceDN w:val="0"/>
        <w:textAlignment w:val="baseline"/>
        <w:outlineLvl w:val="0"/>
        <w:rPr>
          <w:rFonts w:ascii="Arial" w:eastAsia="HGGothicM" w:hAnsi="Arial" w:cs="Arial"/>
          <w:b/>
          <w:bCs/>
          <w:color w:val="000000" w:themeColor="text1"/>
          <w:sz w:val="24"/>
          <w:szCs w:val="24"/>
          <w:lang w:bidi="en-US"/>
        </w:rPr>
      </w:pPr>
      <w:r>
        <w:rPr>
          <w:rFonts w:ascii="Arial" w:eastAsia="HGGothicM" w:hAnsi="Arial" w:cs="Arial"/>
          <w:b/>
          <w:bCs/>
          <w:color w:val="000000" w:themeColor="text1"/>
          <w:sz w:val="24"/>
          <w:szCs w:val="24"/>
          <w:lang w:bidi="en-US"/>
        </w:rPr>
        <w:t>T</w:t>
      </w:r>
      <w:r w:rsidR="00B7150E">
        <w:rPr>
          <w:rFonts w:ascii="Arial" w:eastAsia="HGGothicM" w:hAnsi="Arial" w:cs="Arial"/>
          <w:b/>
          <w:bCs/>
          <w:color w:val="000000" w:themeColor="text1"/>
          <w:sz w:val="24"/>
          <w:szCs w:val="24"/>
          <w:lang w:bidi="en-US"/>
        </w:rPr>
        <w:t>he Policy</w:t>
      </w:r>
    </w:p>
    <w:p w14:paraId="1D6A7481" w14:textId="32B7400A" w:rsidR="00EB1520" w:rsidRPr="00884E2C" w:rsidRDefault="00EB1520" w:rsidP="00985C79">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sidRPr="00884E2C">
        <w:rPr>
          <w:rFonts w:ascii="Arial" w:eastAsia="HGGothicM" w:hAnsi="Arial" w:cs="Arial"/>
          <w:bCs/>
          <w:color w:val="000000" w:themeColor="text1"/>
          <w:sz w:val="24"/>
          <w:szCs w:val="24"/>
          <w:lang w:bidi="en-US"/>
        </w:rPr>
        <w:t>Applicant</w:t>
      </w:r>
      <w:r w:rsidR="00CE6C5F">
        <w:rPr>
          <w:rFonts w:ascii="Arial" w:eastAsia="HGGothicM" w:hAnsi="Arial" w:cs="Arial"/>
          <w:bCs/>
          <w:color w:val="000000" w:themeColor="text1"/>
          <w:sz w:val="24"/>
          <w:szCs w:val="24"/>
          <w:lang w:bidi="en-US"/>
        </w:rPr>
        <w:t>’</w:t>
      </w:r>
      <w:r w:rsidRPr="00884E2C">
        <w:rPr>
          <w:rFonts w:ascii="Arial" w:eastAsia="HGGothicM" w:hAnsi="Arial" w:cs="Arial"/>
          <w:bCs/>
          <w:color w:val="000000" w:themeColor="text1"/>
          <w:sz w:val="24"/>
          <w:szCs w:val="24"/>
          <w:lang w:bidi="en-US"/>
        </w:rPr>
        <w:t>s Rights</w:t>
      </w:r>
    </w:p>
    <w:p w14:paraId="43D208B5" w14:textId="64CC10C8" w:rsidR="00EB1520" w:rsidRPr="00884E2C" w:rsidRDefault="00EB1520" w:rsidP="00985C79">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sidRPr="00884E2C">
        <w:rPr>
          <w:rFonts w:ascii="Arial" w:eastAsia="HGGothicM" w:hAnsi="Arial" w:cs="Arial"/>
          <w:bCs/>
          <w:color w:val="000000" w:themeColor="text1"/>
          <w:sz w:val="24"/>
          <w:szCs w:val="24"/>
          <w:lang w:bidi="en-US"/>
        </w:rPr>
        <w:t>Transgender Process</w:t>
      </w:r>
    </w:p>
    <w:p w14:paraId="03ACA5DF" w14:textId="5E36B371" w:rsidR="00EB1520" w:rsidRPr="00884E2C" w:rsidRDefault="00EB1520" w:rsidP="00985C79">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sidRPr="00884E2C">
        <w:rPr>
          <w:rFonts w:ascii="Arial" w:eastAsia="HGGothicM" w:hAnsi="Arial" w:cs="Arial"/>
          <w:bCs/>
          <w:color w:val="000000" w:themeColor="text1"/>
          <w:sz w:val="24"/>
          <w:szCs w:val="24"/>
          <w:lang w:bidi="en-US"/>
        </w:rPr>
        <w:t>Self-employed Workers</w:t>
      </w:r>
    </w:p>
    <w:p w14:paraId="738EDC53" w14:textId="41B81545" w:rsidR="00EB1520" w:rsidRPr="00884E2C" w:rsidRDefault="00EB1520" w:rsidP="00985C79">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sidRPr="00884E2C">
        <w:rPr>
          <w:rFonts w:ascii="Arial" w:eastAsia="HGGothicM" w:hAnsi="Arial" w:cs="Arial"/>
          <w:bCs/>
          <w:color w:val="000000" w:themeColor="text1"/>
          <w:sz w:val="24"/>
          <w:szCs w:val="24"/>
          <w:lang w:bidi="en-US"/>
        </w:rPr>
        <w:t>Posts Requiring a Disclosure</w:t>
      </w:r>
    </w:p>
    <w:p w14:paraId="4E14DA72" w14:textId="05B2F6C3" w:rsidR="00EB1520" w:rsidRPr="00884E2C" w:rsidRDefault="00EB1520" w:rsidP="00985C79">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sidRPr="00884E2C">
        <w:rPr>
          <w:rFonts w:ascii="Arial" w:eastAsia="HGGothicM" w:hAnsi="Arial" w:cs="Arial"/>
          <w:bCs/>
          <w:color w:val="000000" w:themeColor="text1"/>
          <w:sz w:val="24"/>
          <w:szCs w:val="24"/>
          <w:lang w:bidi="en-US"/>
        </w:rPr>
        <w:t>Risk-based Decision Making in Relation to Disclosures</w:t>
      </w:r>
    </w:p>
    <w:p w14:paraId="3DB14B71" w14:textId="71843E19" w:rsidR="00EB1520" w:rsidRPr="00081C48" w:rsidRDefault="00EB1520" w:rsidP="00985C79">
      <w:pPr>
        <w:pStyle w:val="ListParagraph"/>
        <w:keepNext/>
        <w:keepLines/>
        <w:widowControl w:val="0"/>
        <w:numPr>
          <w:ilvl w:val="0"/>
          <w:numId w:val="1"/>
        </w:numPr>
        <w:suppressAutoHyphens/>
        <w:autoSpaceDN w:val="0"/>
        <w:textAlignment w:val="baseline"/>
        <w:outlineLvl w:val="0"/>
        <w:rPr>
          <w:rFonts w:ascii="Arial" w:eastAsia="HGGothicM" w:hAnsi="Arial" w:cs="Arial"/>
          <w:bCs/>
          <w:sz w:val="24"/>
          <w:szCs w:val="24"/>
          <w:lang w:bidi="en-US"/>
        </w:rPr>
      </w:pPr>
      <w:r w:rsidRPr="00D7130F">
        <w:rPr>
          <w:rFonts w:ascii="Arial" w:eastAsia="HGGothicM" w:hAnsi="Arial" w:cs="Arial"/>
          <w:bCs/>
          <w:sz w:val="24"/>
          <w:szCs w:val="24"/>
          <w:lang w:bidi="en-US"/>
        </w:rPr>
        <w:t xml:space="preserve">Disclosures </w:t>
      </w:r>
      <w:r w:rsidRPr="00081C48">
        <w:rPr>
          <w:rFonts w:ascii="Arial" w:eastAsia="HGGothicM" w:hAnsi="Arial" w:cs="Arial"/>
          <w:bCs/>
          <w:sz w:val="24"/>
          <w:szCs w:val="24"/>
          <w:lang w:bidi="en-US"/>
        </w:rPr>
        <w:t xml:space="preserve">and </w:t>
      </w:r>
      <w:r w:rsidR="001A37B7" w:rsidRPr="00081C48">
        <w:rPr>
          <w:rFonts w:ascii="Arial" w:eastAsia="HGGothicM" w:hAnsi="Arial" w:cs="Arial"/>
          <w:bCs/>
          <w:sz w:val="24"/>
          <w:szCs w:val="24"/>
          <w:lang w:bidi="en-US"/>
        </w:rPr>
        <w:t xml:space="preserve">UK </w:t>
      </w:r>
      <w:r w:rsidRPr="00081C48">
        <w:rPr>
          <w:rFonts w:ascii="Arial" w:eastAsia="HGGothicM" w:hAnsi="Arial" w:cs="Arial"/>
          <w:bCs/>
          <w:sz w:val="24"/>
          <w:szCs w:val="24"/>
          <w:lang w:bidi="en-US"/>
        </w:rPr>
        <w:t>Data Protection</w:t>
      </w:r>
    </w:p>
    <w:p w14:paraId="4CFAAD8C" w14:textId="1411848E" w:rsidR="00CE6C5F" w:rsidRPr="00081C48" w:rsidRDefault="00CE6C5F" w:rsidP="00985C79">
      <w:pPr>
        <w:pStyle w:val="ListParagraph"/>
        <w:keepNext/>
        <w:keepLines/>
        <w:widowControl w:val="0"/>
        <w:numPr>
          <w:ilvl w:val="0"/>
          <w:numId w:val="1"/>
        </w:numPr>
        <w:suppressAutoHyphens/>
        <w:autoSpaceDN w:val="0"/>
        <w:textAlignment w:val="baseline"/>
        <w:outlineLvl w:val="0"/>
        <w:rPr>
          <w:rFonts w:ascii="Arial" w:eastAsia="HGGothicM" w:hAnsi="Arial" w:cs="Arial"/>
          <w:bCs/>
          <w:sz w:val="24"/>
          <w:szCs w:val="24"/>
          <w:lang w:bidi="en-US"/>
        </w:rPr>
      </w:pPr>
      <w:r w:rsidRPr="00081C48">
        <w:rPr>
          <w:rFonts w:ascii="Arial" w:eastAsia="HGGothicM" w:hAnsi="Arial" w:cs="Arial"/>
          <w:bCs/>
          <w:sz w:val="24"/>
          <w:szCs w:val="24"/>
          <w:lang w:bidi="en-US"/>
        </w:rPr>
        <w:t>The DBS Code of Practice</w:t>
      </w:r>
    </w:p>
    <w:p w14:paraId="50FD0226" w14:textId="15F67C42" w:rsidR="00EB1520" w:rsidRPr="00884E2C" w:rsidRDefault="00EB1520" w:rsidP="00985C79">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sidRPr="00884E2C">
        <w:rPr>
          <w:rFonts w:ascii="Arial" w:eastAsia="HGGothicM" w:hAnsi="Arial" w:cs="Arial"/>
          <w:bCs/>
          <w:color w:val="000000" w:themeColor="text1"/>
          <w:sz w:val="24"/>
          <w:szCs w:val="24"/>
          <w:lang w:bidi="en-US"/>
        </w:rPr>
        <w:t>Storing Information</w:t>
      </w:r>
    </w:p>
    <w:p w14:paraId="2C09BD14" w14:textId="65ECACE2" w:rsidR="00EB1520" w:rsidRPr="00884E2C" w:rsidRDefault="00EB1520" w:rsidP="00985C79">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sidRPr="00884E2C">
        <w:rPr>
          <w:rFonts w:ascii="Arial" w:eastAsia="HGGothicM" w:hAnsi="Arial" w:cs="Arial"/>
          <w:bCs/>
          <w:color w:val="000000" w:themeColor="text1"/>
          <w:sz w:val="24"/>
          <w:szCs w:val="24"/>
          <w:lang w:bidi="en-US"/>
        </w:rPr>
        <w:t>Deletion of Data Requests</w:t>
      </w:r>
    </w:p>
    <w:p w14:paraId="43B14C84" w14:textId="1BE68215" w:rsidR="00EB1520" w:rsidRPr="00884E2C" w:rsidRDefault="00EB1520" w:rsidP="00985C79">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sidRPr="00884E2C">
        <w:rPr>
          <w:rFonts w:ascii="Arial" w:eastAsia="HGGothicM" w:hAnsi="Arial" w:cs="Arial"/>
          <w:bCs/>
          <w:color w:val="000000" w:themeColor="text1"/>
          <w:sz w:val="24"/>
          <w:szCs w:val="24"/>
          <w:lang w:bidi="en-US"/>
        </w:rPr>
        <w:t>Portability Requests</w:t>
      </w:r>
    </w:p>
    <w:p w14:paraId="75191546" w14:textId="05CA48BE" w:rsidR="00EB1520" w:rsidRPr="00884E2C" w:rsidRDefault="00EB1520" w:rsidP="00985C79">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sidRPr="00884E2C">
        <w:rPr>
          <w:rFonts w:ascii="Arial" w:eastAsia="HGGothicM" w:hAnsi="Arial" w:cs="Arial"/>
          <w:bCs/>
          <w:color w:val="000000" w:themeColor="text1"/>
          <w:sz w:val="24"/>
          <w:szCs w:val="24"/>
          <w:lang w:bidi="en-US"/>
        </w:rPr>
        <w:t xml:space="preserve">DBS Process </w:t>
      </w:r>
    </w:p>
    <w:p w14:paraId="3C554DFB" w14:textId="3DD8779B" w:rsidR="00EB1520" w:rsidRPr="00884E2C" w:rsidRDefault="00EB1520" w:rsidP="00985C79">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sidRPr="00884E2C">
        <w:rPr>
          <w:rFonts w:ascii="Arial" w:eastAsia="HGGothicM" w:hAnsi="Arial" w:cs="Arial"/>
          <w:bCs/>
          <w:color w:val="000000" w:themeColor="text1"/>
          <w:sz w:val="24"/>
          <w:szCs w:val="24"/>
          <w:lang w:bidi="en-US"/>
        </w:rPr>
        <w:t>DBS Update Service</w:t>
      </w:r>
    </w:p>
    <w:p w14:paraId="0E898967" w14:textId="5A82C707" w:rsidR="00EB1520" w:rsidRPr="00884E2C" w:rsidRDefault="006B3EA5" w:rsidP="00985C79">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Pr>
          <w:rFonts w:ascii="Arial" w:eastAsia="HGGothicM" w:hAnsi="Arial" w:cs="Arial"/>
          <w:bCs/>
          <w:color w:val="000000" w:themeColor="text1"/>
          <w:sz w:val="24"/>
          <w:szCs w:val="24"/>
          <w:lang w:bidi="en-US"/>
        </w:rPr>
        <w:t>Making a Referral</w:t>
      </w:r>
    </w:p>
    <w:p w14:paraId="6CE0DEDF" w14:textId="3815664E" w:rsidR="00B7150E" w:rsidRDefault="00B7150E" w:rsidP="002D1A16">
      <w:pPr>
        <w:pStyle w:val="ListParagraph"/>
        <w:keepNext/>
        <w:keepLines/>
        <w:widowControl w:val="0"/>
        <w:numPr>
          <w:ilvl w:val="0"/>
          <w:numId w:val="1"/>
        </w:numPr>
        <w:suppressAutoHyphens/>
        <w:autoSpaceDN w:val="0"/>
        <w:textAlignment w:val="baseline"/>
        <w:outlineLvl w:val="0"/>
        <w:rPr>
          <w:rFonts w:ascii="Arial" w:eastAsia="HGGothicM" w:hAnsi="Arial" w:cs="Arial"/>
          <w:b/>
          <w:bCs/>
          <w:color w:val="000000" w:themeColor="text1"/>
          <w:sz w:val="24"/>
          <w:szCs w:val="24"/>
          <w:lang w:bidi="en-US"/>
        </w:rPr>
      </w:pPr>
      <w:r>
        <w:rPr>
          <w:rFonts w:ascii="Arial" w:eastAsia="HGGothicM" w:hAnsi="Arial" w:cs="Arial"/>
          <w:b/>
          <w:bCs/>
          <w:color w:val="000000" w:themeColor="text1"/>
          <w:sz w:val="24"/>
          <w:szCs w:val="24"/>
          <w:lang w:bidi="en-US"/>
        </w:rPr>
        <w:t>Related Policies</w:t>
      </w:r>
    </w:p>
    <w:p w14:paraId="4144DE55" w14:textId="780BAA6A" w:rsidR="00B7150E" w:rsidRDefault="00B7150E" w:rsidP="002D1A16">
      <w:pPr>
        <w:pStyle w:val="ListParagraph"/>
        <w:keepNext/>
        <w:keepLines/>
        <w:widowControl w:val="0"/>
        <w:numPr>
          <w:ilvl w:val="0"/>
          <w:numId w:val="1"/>
        </w:numPr>
        <w:suppressAutoHyphens/>
        <w:autoSpaceDN w:val="0"/>
        <w:textAlignment w:val="baseline"/>
        <w:outlineLvl w:val="0"/>
        <w:rPr>
          <w:rFonts w:ascii="Arial" w:eastAsia="HGGothicM" w:hAnsi="Arial" w:cs="Arial"/>
          <w:b/>
          <w:bCs/>
          <w:color w:val="000000" w:themeColor="text1"/>
          <w:sz w:val="24"/>
          <w:szCs w:val="24"/>
          <w:lang w:bidi="en-US"/>
        </w:rPr>
      </w:pPr>
      <w:r>
        <w:rPr>
          <w:rFonts w:ascii="Arial" w:eastAsia="HGGothicM" w:hAnsi="Arial" w:cs="Arial"/>
          <w:b/>
          <w:bCs/>
          <w:color w:val="000000" w:themeColor="text1"/>
          <w:sz w:val="24"/>
          <w:szCs w:val="24"/>
          <w:lang w:bidi="en-US"/>
        </w:rPr>
        <w:t>Related Guidance</w:t>
      </w:r>
    </w:p>
    <w:p w14:paraId="2D8DA629" w14:textId="62B6B389" w:rsidR="00A61A71" w:rsidRDefault="00B7150E" w:rsidP="002B3DB3">
      <w:pPr>
        <w:pStyle w:val="ListParagraph"/>
        <w:keepNext/>
        <w:keepLines/>
        <w:widowControl w:val="0"/>
        <w:numPr>
          <w:ilvl w:val="0"/>
          <w:numId w:val="1"/>
        </w:numPr>
        <w:suppressAutoHyphens/>
        <w:autoSpaceDN w:val="0"/>
        <w:textAlignment w:val="baseline"/>
        <w:outlineLvl w:val="0"/>
        <w:rPr>
          <w:rFonts w:ascii="Arial" w:eastAsia="HGGothicM" w:hAnsi="Arial" w:cs="Arial"/>
          <w:b/>
          <w:bCs/>
          <w:color w:val="000000" w:themeColor="text1"/>
          <w:sz w:val="24"/>
          <w:szCs w:val="24"/>
          <w:lang w:bidi="en-US"/>
        </w:rPr>
      </w:pPr>
      <w:r>
        <w:rPr>
          <w:rFonts w:ascii="Arial" w:eastAsia="HGGothicM" w:hAnsi="Arial" w:cs="Arial"/>
          <w:b/>
          <w:bCs/>
          <w:color w:val="000000" w:themeColor="text1"/>
          <w:sz w:val="24"/>
          <w:szCs w:val="24"/>
          <w:lang w:bidi="en-US"/>
        </w:rPr>
        <w:t>Training Statement</w:t>
      </w:r>
    </w:p>
    <w:p w14:paraId="50B2C615" w14:textId="4FACED2B" w:rsidR="00632CF8" w:rsidRDefault="00B7150E" w:rsidP="00D97F62">
      <w:pPr>
        <w:pStyle w:val="WPHeading"/>
      </w:pPr>
      <w:bookmarkStart w:id="4" w:name="_Hlk527628763"/>
      <w:r>
        <w:t>Policy Statement</w:t>
      </w:r>
      <w:bookmarkEnd w:id="4"/>
    </w:p>
    <w:p w14:paraId="64B7576F" w14:textId="77BC8636" w:rsidR="00944872" w:rsidRPr="00884E2C" w:rsidRDefault="00944872" w:rsidP="00D97F62">
      <w:pPr>
        <w:pStyle w:val="WPParagraph"/>
      </w:pPr>
      <w:r w:rsidRPr="00884E2C">
        <w:t>This policy outlines the organisation’s approach to the use of Disclosure and Barring Service (DBS) checks</w:t>
      </w:r>
      <w:r w:rsidR="001C7473">
        <w:t xml:space="preserve"> </w:t>
      </w:r>
      <w:r w:rsidRPr="00884E2C">
        <w:t xml:space="preserve">and the storage and use of information on convictions disclosed by the DBS. The policy applies to all staff groups and should be given to applicants at the outset of the recruitment process where an </w:t>
      </w:r>
      <w:r w:rsidR="001C7473">
        <w:t>e</w:t>
      </w:r>
      <w:r w:rsidRPr="00884E2C">
        <w:t xml:space="preserve">nhanced DBS disclosure of their criminal record will be required as part of the application process for working in a </w:t>
      </w:r>
      <w:r w:rsidR="001C7473" w:rsidRPr="00884E2C">
        <w:t>regulated activity.</w:t>
      </w:r>
    </w:p>
    <w:p w14:paraId="68A225FF" w14:textId="77777777" w:rsidR="00944872" w:rsidRPr="00884E2C" w:rsidRDefault="00944872" w:rsidP="00D97F62">
      <w:pPr>
        <w:pStyle w:val="WPHeading2"/>
      </w:pPr>
      <w:r w:rsidRPr="00884E2C">
        <w:t>Overview</w:t>
      </w:r>
    </w:p>
    <w:p w14:paraId="2F989E53" w14:textId="5EEFB7CA" w:rsidR="00944872" w:rsidRPr="00884E2C" w:rsidRDefault="00944872" w:rsidP="00D97F62">
      <w:pPr>
        <w:pStyle w:val="WPParagraph"/>
      </w:pPr>
      <w:r w:rsidRPr="00884E2C">
        <w:t>An employer may request a DBS check as part of its recruitment process only where it is lawful to do so. For certain checks</w:t>
      </w:r>
      <w:r w:rsidR="001C7473">
        <w:t>,</w:t>
      </w:r>
      <w:r w:rsidRPr="00884E2C">
        <w:t xml:space="preserve"> this includes a barred list check and police</w:t>
      </w:r>
      <w:r w:rsidR="001C7473">
        <w:t>-</w:t>
      </w:r>
      <w:r w:rsidRPr="00884E2C">
        <w:t xml:space="preserve">held information that is reasonably considered to be relevant for the post. The </w:t>
      </w:r>
      <w:r w:rsidRPr="00884E2C">
        <w:lastRenderedPageBreak/>
        <w:t>information is used as part of a safer recruitment and selection process, considering a variety of information gathered during the recruitment stage</w:t>
      </w:r>
      <w:r>
        <w:t>.</w:t>
      </w:r>
    </w:p>
    <w:p w14:paraId="0CFEA535" w14:textId="77777777" w:rsidR="00944872" w:rsidRPr="00884E2C" w:rsidRDefault="00944872" w:rsidP="00D97F62">
      <w:pPr>
        <w:pStyle w:val="WPHeading2"/>
      </w:pPr>
      <w:r w:rsidRPr="00884E2C">
        <w:t>Exempted Questions</w:t>
      </w:r>
    </w:p>
    <w:p w14:paraId="38137CBD" w14:textId="716BE332" w:rsidR="00944872" w:rsidRPr="0073578C" w:rsidRDefault="00944872" w:rsidP="00D97F62">
      <w:pPr>
        <w:pStyle w:val="WPParagraph"/>
      </w:pPr>
      <w:r w:rsidRPr="00884E2C">
        <w:t>For DBS purposes</w:t>
      </w:r>
      <w:r w:rsidR="00CE6C5F">
        <w:t>,</w:t>
      </w:r>
      <w:r w:rsidRPr="00884E2C">
        <w:t xml:space="preserve"> an </w:t>
      </w:r>
      <w:r w:rsidR="00CE6C5F">
        <w:t>e</w:t>
      </w:r>
      <w:r w:rsidRPr="00884E2C">
        <w:t xml:space="preserve">xempted </w:t>
      </w:r>
      <w:r w:rsidR="00CE6C5F">
        <w:t>q</w:t>
      </w:r>
      <w:r w:rsidRPr="00884E2C">
        <w:t>uestion is a valid request for a person to reveal their full criminal record history, which excludes protected cautions and convictions that are filtered from a criminal record</w:t>
      </w:r>
      <w:r>
        <w:t>.</w:t>
      </w:r>
    </w:p>
    <w:p w14:paraId="1FC5EA40" w14:textId="266F5303" w:rsidR="00944872" w:rsidRPr="0073578C" w:rsidRDefault="00AD5C8F" w:rsidP="00D97F62">
      <w:pPr>
        <w:pStyle w:val="WPHeading"/>
      </w:pPr>
      <w:r w:rsidRPr="00884E2C">
        <w:t>The Policy</w:t>
      </w:r>
    </w:p>
    <w:p w14:paraId="184B3F71" w14:textId="16573039" w:rsidR="00944872" w:rsidRPr="00D7130F" w:rsidRDefault="00944872" w:rsidP="00D97F62">
      <w:pPr>
        <w:pStyle w:val="WPParagraph"/>
      </w:pPr>
      <w:bookmarkStart w:id="5" w:name="_Toc408410518"/>
      <w:bookmarkStart w:id="6" w:name="_Toc408495713"/>
      <w:bookmarkStart w:id="7" w:name="_Toc409431204"/>
      <w:r w:rsidRPr="00884E2C">
        <w:t xml:space="preserve">Access to the DBS Checking Service is restricted to those registered employers for entitlement by law to ask an individual to reveal their full criminal history, including spent convictions, also known as asking </w:t>
      </w:r>
      <w:r w:rsidR="00CE6C5F">
        <w:t>a</w:t>
      </w:r>
      <w:r w:rsidRPr="00884E2C">
        <w:t xml:space="preserve">n </w:t>
      </w:r>
      <w:r w:rsidR="00CE6C5F">
        <w:t>e</w:t>
      </w:r>
      <w:r w:rsidRPr="00884E2C">
        <w:t xml:space="preserve">xempted </w:t>
      </w:r>
      <w:r w:rsidR="00CE6C5F">
        <w:t>q</w:t>
      </w:r>
      <w:r w:rsidRPr="00884E2C">
        <w:t xml:space="preserve">uestion. The </w:t>
      </w:r>
      <w:r w:rsidR="00CE6C5F">
        <w:t>e</w:t>
      </w:r>
      <w:r w:rsidRPr="00884E2C">
        <w:t xml:space="preserve">xempted </w:t>
      </w:r>
      <w:r w:rsidR="00CE6C5F">
        <w:t>q</w:t>
      </w:r>
      <w:r w:rsidRPr="00884E2C">
        <w:t>uestion applies only in specific occupations, for certain licenses</w:t>
      </w:r>
      <w:r w:rsidR="00CE6C5F">
        <w:t>,</w:t>
      </w:r>
      <w:r w:rsidRPr="00884E2C">
        <w:t xml:space="preserve"> and specified positions covered by the Rehabilitation of Offenders Act 1974 (Exceptions Order 1975</w:t>
      </w:r>
      <w:r w:rsidRPr="00D7130F">
        <w:t xml:space="preserve">). Due to </w:t>
      </w:r>
      <w:r w:rsidR="00CE6C5F" w:rsidRPr="00D7130F">
        <w:t>c</w:t>
      </w:r>
      <w:r w:rsidRPr="00D7130F">
        <w:t xml:space="preserve">ase </w:t>
      </w:r>
      <w:r w:rsidR="00CE6C5F" w:rsidRPr="00D7130F">
        <w:t>l</w:t>
      </w:r>
      <w:r w:rsidRPr="00D7130F">
        <w:t xml:space="preserve">aw decisions, including those of the EU Courts, and the introduction of the </w:t>
      </w:r>
      <w:r w:rsidR="001A37B7" w:rsidRPr="00081C48">
        <w:t xml:space="preserve">UK </w:t>
      </w:r>
      <w:r w:rsidRPr="00081C48">
        <w:t xml:space="preserve">GDPR into </w:t>
      </w:r>
      <w:r w:rsidR="001A37B7" w:rsidRPr="00081C48">
        <w:t xml:space="preserve">UK </w:t>
      </w:r>
      <w:r w:rsidRPr="00081C48">
        <w:t>data protection legislation</w:t>
      </w:r>
      <w:r w:rsidR="00CE6C5F" w:rsidRPr="00081C48">
        <w:t>,</w:t>
      </w:r>
      <w:r w:rsidRPr="00081C48">
        <w:t xml:space="preserve"> criminal records data is viewed as sensitive data and should be handled as such.</w:t>
      </w:r>
    </w:p>
    <w:p w14:paraId="19CDA021" w14:textId="554E4702" w:rsidR="00944872" w:rsidRPr="00884E2C" w:rsidRDefault="00944872" w:rsidP="00D97F62">
      <w:pPr>
        <w:pStyle w:val="WPHeading2"/>
      </w:pPr>
      <w:r w:rsidRPr="00884E2C">
        <w:t>Applicant</w:t>
      </w:r>
      <w:r w:rsidR="00CE6C5F">
        <w:t>’</w:t>
      </w:r>
      <w:r w:rsidRPr="00884E2C">
        <w:t>s Rights</w:t>
      </w:r>
    </w:p>
    <w:p w14:paraId="0084CFCF" w14:textId="491CB388" w:rsidR="00944872" w:rsidRPr="00884E2C" w:rsidRDefault="00944872" w:rsidP="00D97F62">
      <w:pPr>
        <w:pStyle w:val="WPParagraph"/>
      </w:pPr>
      <w:r w:rsidRPr="00884E2C">
        <w:t>Usually, a job applicant has no legal obligation to disclose. If an applicant has a conviction that is spent</w:t>
      </w:r>
      <w:r w:rsidR="00CE6C5F">
        <w:t>,</w:t>
      </w:r>
      <w:r w:rsidRPr="00884E2C">
        <w:t xml:space="preserve"> the employer must treat the applicant as if the conviction had not happened</w:t>
      </w:r>
      <w:r w:rsidR="00CE6C5F">
        <w:t>. T</w:t>
      </w:r>
      <w:r w:rsidRPr="00884E2C">
        <w:t xml:space="preserve">o do otherwise is unlawful. </w:t>
      </w:r>
    </w:p>
    <w:p w14:paraId="0224E60F" w14:textId="70846C97" w:rsidR="00944872" w:rsidRPr="00884E2C" w:rsidRDefault="00944872" w:rsidP="00D97F62">
      <w:pPr>
        <w:pStyle w:val="WPParagraph"/>
      </w:pPr>
      <w:r w:rsidRPr="00884E2C">
        <w:t>For clarity, certain areas of employment</w:t>
      </w:r>
      <w:r w:rsidR="00CE6C5F">
        <w:t>,</w:t>
      </w:r>
      <w:r w:rsidRPr="00884E2C">
        <w:t xml:space="preserve"> such as </w:t>
      </w:r>
      <w:r w:rsidR="00CE6C5F" w:rsidRPr="00884E2C">
        <w:t>regulated activities</w:t>
      </w:r>
      <w:r w:rsidR="00CE6C5F">
        <w:t>,</w:t>
      </w:r>
      <w:r w:rsidR="00CE6C5F" w:rsidRPr="00884E2C">
        <w:t xml:space="preserve"> </w:t>
      </w:r>
      <w:r w:rsidRPr="00884E2C">
        <w:t xml:space="preserve">are exempt from the Rehabilitation of Offenders Act 1974 (Exceptions) Order 1975 for which employers can ask about spent convictions. This is known as asking </w:t>
      </w:r>
      <w:r w:rsidR="00CE6C5F">
        <w:t>e</w:t>
      </w:r>
      <w:r w:rsidRPr="00884E2C">
        <w:t xml:space="preserve">xempted </w:t>
      </w:r>
      <w:r w:rsidR="00CE6C5F">
        <w:t>q</w:t>
      </w:r>
      <w:r w:rsidRPr="00884E2C">
        <w:t>uestions</w:t>
      </w:r>
      <w:r w:rsidR="00CE6C5F">
        <w:t>.</w:t>
      </w:r>
    </w:p>
    <w:p w14:paraId="5C9A8738" w14:textId="77777777" w:rsidR="00944872" w:rsidRPr="00884E2C" w:rsidRDefault="00944872" w:rsidP="00D97F62">
      <w:pPr>
        <w:pStyle w:val="WPHeading2"/>
      </w:pPr>
      <w:r w:rsidRPr="00884E2C">
        <w:t>Transgender Process</w:t>
      </w:r>
    </w:p>
    <w:p w14:paraId="2F425668" w14:textId="0E11B71D" w:rsidR="00944872" w:rsidRPr="00D7130F" w:rsidRDefault="00944872" w:rsidP="00D97F62">
      <w:pPr>
        <w:pStyle w:val="WPParagraph"/>
      </w:pPr>
      <w:r w:rsidRPr="00884E2C">
        <w:t xml:space="preserve">DBS offers a confidential checking process for these applications </w:t>
      </w:r>
      <w:r w:rsidR="00CE6C5F">
        <w:t>who</w:t>
      </w:r>
      <w:r w:rsidRPr="00884E2C">
        <w:t xml:space="preserve"> do not wish to reveal details of their previous identity to their prospective employer. Further information can be obtained by email to</w:t>
      </w:r>
      <w:r w:rsidRPr="00884E2C">
        <w:rPr>
          <w:color w:val="FF0000"/>
        </w:rPr>
        <w:t xml:space="preserve"> </w:t>
      </w:r>
      <w:hyperlink r:id="rId13" w:history="1">
        <w:r w:rsidRPr="00884E2C">
          <w:rPr>
            <w:color w:val="0000FF"/>
            <w:u w:val="single"/>
          </w:rPr>
          <w:t>sensitive@dbs.gsi.gov.uk</w:t>
        </w:r>
      </w:hyperlink>
      <w:r w:rsidR="00CE6C5F" w:rsidRPr="00CE6C5F">
        <w:t>,</w:t>
      </w:r>
      <w:r w:rsidR="00CE6C5F">
        <w:rPr>
          <w:color w:val="FF0000"/>
        </w:rPr>
        <w:t xml:space="preserve"> </w:t>
      </w:r>
      <w:r w:rsidRPr="00884E2C">
        <w:t>where the process will be explained</w:t>
      </w:r>
      <w:r w:rsidRPr="00D7130F">
        <w:t xml:space="preserve">. This information must be held </w:t>
      </w:r>
      <w:r w:rsidR="0006589C" w:rsidRPr="00D7130F">
        <w:t>following</w:t>
      </w:r>
      <w:r w:rsidRPr="00D7130F">
        <w:t xml:space="preserve"> the latest </w:t>
      </w:r>
      <w:r w:rsidR="001A37B7" w:rsidRPr="00081C48">
        <w:t xml:space="preserve">UK </w:t>
      </w:r>
      <w:r w:rsidRPr="00081C48">
        <w:t>dat</w:t>
      </w:r>
      <w:r w:rsidR="0006589C" w:rsidRPr="00081C48">
        <w:t>a</w:t>
      </w:r>
      <w:r w:rsidRPr="00081C48">
        <w:t xml:space="preserve"> protection legislation </w:t>
      </w:r>
      <w:r w:rsidR="00CE6C5F" w:rsidRPr="00081C48">
        <w:t xml:space="preserve">regarding </w:t>
      </w:r>
      <w:r w:rsidRPr="00081C48">
        <w:t>sensitive personal data</w:t>
      </w:r>
      <w:r w:rsidR="00CE6C5F" w:rsidRPr="00081C48">
        <w:t>.</w:t>
      </w:r>
    </w:p>
    <w:p w14:paraId="1EF9A3F5" w14:textId="35FF323C" w:rsidR="00944872" w:rsidRPr="00884E2C" w:rsidRDefault="00944872" w:rsidP="00D97F62">
      <w:pPr>
        <w:pStyle w:val="WPHeading2"/>
      </w:pPr>
      <w:r w:rsidRPr="00884E2C">
        <w:t>Self</w:t>
      </w:r>
      <w:r w:rsidR="00CE6C5F">
        <w:t>-</w:t>
      </w:r>
      <w:r w:rsidRPr="00884E2C">
        <w:t xml:space="preserve">employed </w:t>
      </w:r>
      <w:r w:rsidR="00EB1520">
        <w:t>W</w:t>
      </w:r>
      <w:r w:rsidRPr="00884E2C">
        <w:t>orkers</w:t>
      </w:r>
    </w:p>
    <w:p w14:paraId="6A13AF1D" w14:textId="31E53720" w:rsidR="00944872" w:rsidRPr="00D97F62" w:rsidRDefault="00944872" w:rsidP="00D97F62">
      <w:pPr>
        <w:pStyle w:val="WPParagraph"/>
      </w:pPr>
      <w:r w:rsidRPr="00D97F62">
        <w:t xml:space="preserve">A self-employed person, who is eligible for a </w:t>
      </w:r>
      <w:r w:rsidR="00CE6C5F" w:rsidRPr="00D97F62">
        <w:t xml:space="preserve">standard or enhanced </w:t>
      </w:r>
      <w:r w:rsidRPr="00D97F62">
        <w:t>check</w:t>
      </w:r>
      <w:r w:rsidR="00CE6C5F">
        <w:t>,</w:t>
      </w:r>
      <w:r w:rsidRPr="00D97F62">
        <w:t xml:space="preserve"> can ask the organisation </w:t>
      </w:r>
      <w:r w:rsidR="00CE6C5F">
        <w:t>that</w:t>
      </w:r>
      <w:r w:rsidRPr="00D97F62">
        <w:t xml:space="preserve"> wishes to contract their services to apply for their DBS check.</w:t>
      </w:r>
    </w:p>
    <w:p w14:paraId="1031E5D2" w14:textId="731559A5" w:rsidR="00944872" w:rsidRPr="00D97F62" w:rsidRDefault="00944872" w:rsidP="00D97F62">
      <w:pPr>
        <w:pStyle w:val="WPParagraph"/>
      </w:pPr>
      <w:r w:rsidRPr="00D97F62">
        <w:t>A self</w:t>
      </w:r>
      <w:r w:rsidR="00CE6C5F">
        <w:t>-</w:t>
      </w:r>
      <w:r w:rsidRPr="00D97F62">
        <w:t xml:space="preserve">employed worker can apply through the DBS online </w:t>
      </w:r>
      <w:r w:rsidR="00CE6C5F">
        <w:t>a</w:t>
      </w:r>
      <w:r w:rsidRPr="00D97F62">
        <w:t xml:space="preserve">pplication route, if they live or work in England or Wales, for a </w:t>
      </w:r>
      <w:r w:rsidR="00CE6C5F">
        <w:t>b</w:t>
      </w:r>
      <w:r w:rsidRPr="00D97F62">
        <w:t>asic disclosure only.</w:t>
      </w:r>
    </w:p>
    <w:p w14:paraId="654A6D8C" w14:textId="77777777" w:rsidR="00944872" w:rsidRPr="00D97F62" w:rsidRDefault="00944872" w:rsidP="00D97F62">
      <w:pPr>
        <w:pStyle w:val="WPParagraph"/>
      </w:pPr>
      <w:r w:rsidRPr="00D97F62">
        <w:t>This check is also available in Scotland via the Disclosure Scotland online service.</w:t>
      </w:r>
    </w:p>
    <w:p w14:paraId="73597FE7" w14:textId="5C4F0319" w:rsidR="00944872" w:rsidRPr="00884E2C" w:rsidRDefault="00944872" w:rsidP="00D97F62">
      <w:pPr>
        <w:pStyle w:val="WPHeading2"/>
      </w:pPr>
      <w:r w:rsidRPr="00884E2C">
        <w:t xml:space="preserve">Posts </w:t>
      </w:r>
      <w:r w:rsidR="00EB1520">
        <w:t>R</w:t>
      </w:r>
      <w:r w:rsidRPr="00884E2C">
        <w:t xml:space="preserve">equiring a Disclosure </w:t>
      </w:r>
    </w:p>
    <w:p w14:paraId="4B8CBE46" w14:textId="425F6D74" w:rsidR="00944872" w:rsidRPr="00D97F62" w:rsidRDefault="00944872" w:rsidP="00D97F62">
      <w:pPr>
        <w:pStyle w:val="WPParagraph"/>
        <w:rPr>
          <w:rFonts w:eastAsia="Calibri"/>
        </w:rPr>
      </w:pPr>
      <w:r w:rsidRPr="00D97F62">
        <w:rPr>
          <w:rFonts w:eastAsia="Calibri"/>
        </w:rPr>
        <w:t xml:space="preserve">An applicant will be requested to submit to a DBS disclosure request only where lawful. Before considering asking a person to apply for a criminal record check </w:t>
      </w:r>
      <w:r w:rsidRPr="00D97F62">
        <w:rPr>
          <w:rFonts w:eastAsia="Calibri"/>
        </w:rPr>
        <w:lastRenderedPageBreak/>
        <w:t xml:space="preserve">through DBS, the organisation is legally responsible for ensuring that they are entitled to </w:t>
      </w:r>
      <w:r w:rsidR="0006589C">
        <w:rPr>
          <w:rFonts w:eastAsia="Calibri"/>
        </w:rPr>
        <w:t>apply</w:t>
      </w:r>
      <w:r w:rsidRPr="00D97F62">
        <w:rPr>
          <w:rFonts w:eastAsia="Calibri"/>
        </w:rPr>
        <w:t xml:space="preserve"> for the job role. A countersigning officer must satisfy themselves that the position is eligible under the current legal provisions before countersigning each application form. The DBS </w:t>
      </w:r>
      <w:r w:rsidR="0006589C">
        <w:rPr>
          <w:rFonts w:eastAsia="Calibri"/>
        </w:rPr>
        <w:t>is</w:t>
      </w:r>
      <w:r w:rsidRPr="00D97F62">
        <w:rPr>
          <w:rFonts w:eastAsia="Calibri"/>
        </w:rPr>
        <w:t xml:space="preserve"> continually updating their eligibility for DBS checks.</w:t>
      </w:r>
      <w:r w:rsidR="00D97F62" w:rsidRPr="00D97F62">
        <w:rPr>
          <w:rFonts w:eastAsia="Calibri"/>
        </w:rPr>
        <w:t xml:space="preserve"> </w:t>
      </w:r>
    </w:p>
    <w:p w14:paraId="716C58EC" w14:textId="2486FC16" w:rsidR="00944872" w:rsidRPr="00D97F62" w:rsidRDefault="00944872" w:rsidP="00D97F62">
      <w:pPr>
        <w:pStyle w:val="WPParagraph"/>
      </w:pPr>
      <w:r w:rsidRPr="00D97F62">
        <w:t>All subjects of a DBS disclosure request will be made aware of the DBS Code of Practice.</w:t>
      </w:r>
      <w:r w:rsidR="00D97F62" w:rsidRPr="00D97F62">
        <w:t xml:space="preserve"> </w:t>
      </w:r>
      <w:r w:rsidRPr="00D97F62">
        <w:t>Any information revealed in a disclosure that is likely to lead to the withdrawal of a job offer will be discussed with the applicant before the offer is withdrawn.</w:t>
      </w:r>
    </w:p>
    <w:p w14:paraId="649C393D" w14:textId="77777777" w:rsidR="00944872" w:rsidRPr="00D97F62" w:rsidRDefault="00944872" w:rsidP="00D97F62">
      <w:pPr>
        <w:pStyle w:val="WPParagraph"/>
      </w:pPr>
      <w:r w:rsidRPr="00D97F62">
        <w:t>Where a conviction has been disclosed in an individual’s application for a post with the organisation, a discussion will take place at the end of the interview regarding the offence and its relevance to the position.</w:t>
      </w:r>
    </w:p>
    <w:p w14:paraId="584CBB64" w14:textId="77777777" w:rsidR="00944872" w:rsidRPr="00D97F62" w:rsidRDefault="00944872" w:rsidP="00D97F62">
      <w:pPr>
        <w:pStyle w:val="WPParagraph"/>
      </w:pPr>
      <w:r w:rsidRPr="00D97F62">
        <w:t>Failure to reveal information relating to unspent convictions could lead to the withdrawal of an offer of employment.</w:t>
      </w:r>
    </w:p>
    <w:p w14:paraId="12BDCA31" w14:textId="08912C90" w:rsidR="00944872" w:rsidRPr="00884E2C" w:rsidRDefault="00944872" w:rsidP="00D97F62">
      <w:pPr>
        <w:pStyle w:val="WPHeading2"/>
      </w:pPr>
      <w:bookmarkStart w:id="8" w:name="_Toc408410519"/>
      <w:bookmarkStart w:id="9" w:name="_Toc408495714"/>
      <w:bookmarkStart w:id="10" w:name="_Toc409431205"/>
      <w:r w:rsidRPr="00884E2C">
        <w:t xml:space="preserve">Risk-based </w:t>
      </w:r>
      <w:r w:rsidR="00EB1520">
        <w:t>D</w:t>
      </w:r>
      <w:r w:rsidRPr="00884E2C">
        <w:t xml:space="preserve">ecision </w:t>
      </w:r>
      <w:r w:rsidR="00EB1520">
        <w:t>M</w:t>
      </w:r>
      <w:r w:rsidRPr="00884E2C">
        <w:t xml:space="preserve">aking in </w:t>
      </w:r>
      <w:r w:rsidR="00EB1520">
        <w:t>R</w:t>
      </w:r>
      <w:r w:rsidRPr="00884E2C">
        <w:t xml:space="preserve">elation to </w:t>
      </w:r>
      <w:r w:rsidR="00EB1520">
        <w:t>D</w:t>
      </w:r>
      <w:r w:rsidRPr="00884E2C">
        <w:t>isclosures</w:t>
      </w:r>
      <w:bookmarkEnd w:id="8"/>
      <w:bookmarkEnd w:id="9"/>
      <w:bookmarkEnd w:id="10"/>
    </w:p>
    <w:p w14:paraId="16026BA2" w14:textId="0EE41F53" w:rsidR="00944872" w:rsidRPr="00884E2C" w:rsidRDefault="00944872" w:rsidP="00D97F62">
      <w:pPr>
        <w:pStyle w:val="WPParagraph"/>
      </w:pPr>
      <w:r w:rsidRPr="00884E2C">
        <w:t>Where a p</w:t>
      </w:r>
      <w:r w:rsidR="0006589C">
        <w:t>ro</w:t>
      </w:r>
      <w:r w:rsidRPr="00884E2C">
        <w:t xml:space="preserve">spective employee has a DBS returned detailing criminal offences </w:t>
      </w:r>
      <w:r w:rsidR="00CE6C5F">
        <w:t>that</w:t>
      </w:r>
      <w:r w:rsidRPr="00884E2C">
        <w:t xml:space="preserve"> have not been disclosed</w:t>
      </w:r>
      <w:r w:rsidR="00CE6C5F">
        <w:t>,</w:t>
      </w:r>
      <w:r w:rsidRPr="00884E2C">
        <w:t xml:space="preserve"> a risk assessment will be undertaken in respect to their recruitment. This must be based on the information </w:t>
      </w:r>
      <w:r w:rsidR="0006589C">
        <w:t>at</w:t>
      </w:r>
      <w:r w:rsidRPr="00884E2C">
        <w:t xml:space="preserve"> hand</w:t>
      </w:r>
      <w:r w:rsidR="00CE6C5F">
        <w:t>,</w:t>
      </w:r>
      <w:r w:rsidRPr="00884E2C">
        <w:t xml:space="preserve"> and a balanced view should be maintained throughout the process. It is this organisation’s responsibility to ensure the safeguarding of </w:t>
      </w:r>
      <w:r w:rsidR="005D1A42">
        <w:t>service user</w:t>
      </w:r>
      <w:r w:rsidRPr="00884E2C">
        <w:t>s</w:t>
      </w:r>
      <w:r w:rsidR="00CE6C5F">
        <w:t>,</w:t>
      </w:r>
      <w:r w:rsidRPr="00884E2C">
        <w:t xml:space="preserve"> and the decision to employ will be taken in the context of risk to </w:t>
      </w:r>
      <w:r w:rsidR="005D1A42">
        <w:t>service user</w:t>
      </w:r>
      <w:r w:rsidRPr="00884E2C">
        <w:t>s, staff</w:t>
      </w:r>
      <w:r w:rsidR="00CE6C5F">
        <w:t>,</w:t>
      </w:r>
      <w:r w:rsidRPr="00884E2C">
        <w:t xml:space="preserve"> and the business. The decision will be recorded and held on file.</w:t>
      </w:r>
    </w:p>
    <w:p w14:paraId="5955AB06" w14:textId="60927DA1" w:rsidR="00944872" w:rsidRPr="00884E2C" w:rsidRDefault="00944872" w:rsidP="00D97F62">
      <w:pPr>
        <w:pStyle w:val="WPParagraph"/>
      </w:pPr>
      <w:r w:rsidRPr="00884E2C">
        <w:t xml:space="preserve">The </w:t>
      </w:r>
      <w:r w:rsidRPr="00884E2C">
        <w:rPr>
          <w:iCs/>
        </w:rPr>
        <w:t>Rehabilitation of Offenders Act 1974</w:t>
      </w:r>
      <w:r w:rsidRPr="00884E2C">
        <w:t xml:space="preserve"> provides that ex-offenders are not required to disclose to prospective employer’s convictions defined as ‘spent under the </w:t>
      </w:r>
      <w:r w:rsidR="00CE6C5F">
        <w:t>a</w:t>
      </w:r>
      <w:r w:rsidRPr="00884E2C">
        <w:t xml:space="preserve">ct. However, because our employees work in a </w:t>
      </w:r>
      <w:r w:rsidR="00CE6C5F" w:rsidRPr="00CE6C5F">
        <w:t>regulated activity</w:t>
      </w:r>
      <w:r w:rsidR="00CE6C5F">
        <w:t>,</w:t>
      </w:r>
      <w:r w:rsidR="00CE6C5F" w:rsidRPr="00CE6C5F">
        <w:t xml:space="preserve"> </w:t>
      </w:r>
      <w:r w:rsidRPr="00884E2C">
        <w:t>the updated list applies as defined in the Rehabilitation of Offenders Act 1974 (Exceptions) Order 1975.</w:t>
      </w:r>
    </w:p>
    <w:p w14:paraId="468EF19A" w14:textId="379C703C" w:rsidR="00944872" w:rsidRPr="00D7130F" w:rsidRDefault="00944872" w:rsidP="00D97F62">
      <w:pPr>
        <w:pStyle w:val="WPHeading2"/>
      </w:pPr>
      <w:bookmarkStart w:id="11" w:name="_Toc408410520"/>
      <w:bookmarkStart w:id="12" w:name="_Toc408495715"/>
      <w:bookmarkStart w:id="13" w:name="_Toc409431206"/>
      <w:bookmarkEnd w:id="5"/>
      <w:bookmarkEnd w:id="6"/>
      <w:bookmarkEnd w:id="7"/>
      <w:r w:rsidRPr="00D7130F">
        <w:t>Disclosures and</w:t>
      </w:r>
      <w:r w:rsidR="00205522">
        <w:t xml:space="preserve"> </w:t>
      </w:r>
      <w:r w:rsidRPr="00D7130F">
        <w:t>Data Protection</w:t>
      </w:r>
      <w:bookmarkEnd w:id="11"/>
      <w:bookmarkEnd w:id="12"/>
      <w:bookmarkEnd w:id="13"/>
    </w:p>
    <w:p w14:paraId="74D7746A" w14:textId="77777777" w:rsidR="00944872" w:rsidRPr="00884E2C" w:rsidRDefault="00944872" w:rsidP="00D97F62">
      <w:pPr>
        <w:pStyle w:val="WPParagraph"/>
      </w:pPr>
      <w:r w:rsidRPr="00884E2C">
        <w:t>In this organisation:</w:t>
      </w:r>
    </w:p>
    <w:p w14:paraId="0899EDB0" w14:textId="0EBE7525" w:rsidR="00944872" w:rsidRPr="00D97F62" w:rsidRDefault="00944872" w:rsidP="00D97F62">
      <w:pPr>
        <w:pStyle w:val="WPBullet"/>
      </w:pPr>
      <w:r w:rsidRPr="00D97F62">
        <w:t>DBS disclosure information will not be stored on an employee’s personnel file but will be stored separately</w:t>
      </w:r>
      <w:r w:rsidR="00CE6C5F">
        <w:t>,</w:t>
      </w:r>
      <w:r w:rsidRPr="00D97F62">
        <w:t xml:space="preserve"> in lockable storage</w:t>
      </w:r>
      <w:r w:rsidR="00CE6C5F">
        <w:t>,</w:t>
      </w:r>
      <w:r w:rsidRPr="00D97F62">
        <w:t xml:space="preserve"> with access limited to those who are entitled to see it as part of their duties.</w:t>
      </w:r>
    </w:p>
    <w:p w14:paraId="14403110" w14:textId="77777777" w:rsidR="00944872" w:rsidRPr="00D97F62" w:rsidRDefault="00944872" w:rsidP="00D97F62">
      <w:pPr>
        <w:pStyle w:val="WPBullet"/>
      </w:pPr>
      <w:r w:rsidRPr="00D97F62">
        <w:t>A record will be maintained of all those to whom disclosure information has been revealed, as it is a criminal offence to pass on this information to anyone who is not entitled to receive it.</w:t>
      </w:r>
    </w:p>
    <w:p w14:paraId="7DA6E828" w14:textId="77777777" w:rsidR="00944872" w:rsidRPr="00D97F62" w:rsidRDefault="00944872" w:rsidP="00D97F62">
      <w:pPr>
        <w:pStyle w:val="WPBullet"/>
      </w:pPr>
      <w:r w:rsidRPr="00D97F62">
        <w:t>The DBS reference number will be the means used to investigate any queries regarding the disclosure.</w:t>
      </w:r>
    </w:p>
    <w:p w14:paraId="07255353" w14:textId="6EEA7874" w:rsidR="00944872" w:rsidRPr="00D97F62" w:rsidRDefault="00944872" w:rsidP="00D97F62">
      <w:pPr>
        <w:pStyle w:val="WPBullet"/>
      </w:pPr>
      <w:r w:rsidRPr="00D97F62">
        <w:t xml:space="preserve">A log of these numbers will be kept </w:t>
      </w:r>
      <w:proofErr w:type="gramStart"/>
      <w:r w:rsidRPr="00D97F62">
        <w:t>to check</w:t>
      </w:r>
      <w:proofErr w:type="gramEnd"/>
      <w:r w:rsidRPr="00D97F62">
        <w:t xml:space="preserve"> and review the information</w:t>
      </w:r>
      <w:r w:rsidR="00CE6C5F">
        <w:t>,</w:t>
      </w:r>
      <w:r w:rsidRPr="00D97F62">
        <w:t xml:space="preserve"> where required, with a restricted access list for data sharing processes</w:t>
      </w:r>
      <w:r w:rsidR="00CE6C5F">
        <w:t>.</w:t>
      </w:r>
    </w:p>
    <w:p w14:paraId="3DFA5651" w14:textId="77777777" w:rsidR="00944872" w:rsidRPr="00D97F62" w:rsidRDefault="00944872" w:rsidP="00D97F62">
      <w:pPr>
        <w:pStyle w:val="WPBullet"/>
      </w:pPr>
      <w:r w:rsidRPr="00D97F62">
        <w:t>DBS disclosure information will only be used for the specific purpose for which it was requested and for which the applicant’s full consent will have been obtained.</w:t>
      </w:r>
    </w:p>
    <w:p w14:paraId="47CE3FFC" w14:textId="62D7F6B7" w:rsidR="00944872" w:rsidRPr="00D97F62" w:rsidRDefault="00944872" w:rsidP="00D97F62">
      <w:pPr>
        <w:pStyle w:val="WPBullet"/>
      </w:pPr>
      <w:r w:rsidRPr="00D97F62">
        <w:t>Any information disclosed during the DBS process will be dealt with sensitively and appropriately</w:t>
      </w:r>
      <w:r w:rsidR="00CE6C5F">
        <w:t>.</w:t>
      </w:r>
    </w:p>
    <w:p w14:paraId="4E79893A" w14:textId="6A739DA7" w:rsidR="00944872" w:rsidRPr="00D97F62" w:rsidRDefault="00944872" w:rsidP="00D97F62">
      <w:pPr>
        <w:pStyle w:val="WPBullet"/>
      </w:pPr>
      <w:r w:rsidRPr="00D97F62">
        <w:lastRenderedPageBreak/>
        <w:t>We follow the guidance issued by C</w:t>
      </w:r>
      <w:r w:rsidR="00CE6C5F">
        <w:t xml:space="preserve">are Quality Commission (CQC): </w:t>
      </w:r>
      <w:r w:rsidRPr="00D97F62">
        <w:t xml:space="preserve">Disclosure and Barring Service DBS) </w:t>
      </w:r>
      <w:r w:rsidR="00CE6C5F">
        <w:t>C</w:t>
      </w:r>
      <w:r w:rsidRPr="00D97F62">
        <w:t>hecks (formerly criminal record (CRB) and barring checks)</w:t>
      </w:r>
      <w:r w:rsidR="00CE6C5F">
        <w:t xml:space="preserve">, </w:t>
      </w:r>
      <w:r w:rsidRPr="00D97F62">
        <w:t>issued December 2017</w:t>
      </w:r>
      <w:r w:rsidR="00CE6C5F">
        <w:t>.</w:t>
      </w:r>
    </w:p>
    <w:p w14:paraId="27925861" w14:textId="306E32FF" w:rsidR="00944872" w:rsidRPr="00D97F62" w:rsidRDefault="00944872" w:rsidP="00D97F62">
      <w:pPr>
        <w:pStyle w:val="WPBullet"/>
      </w:pPr>
      <w:r w:rsidRPr="00D97F62">
        <w:t xml:space="preserve">There is further guidance available from CQC </w:t>
      </w:r>
      <w:r w:rsidR="0006589C">
        <w:t>concerning</w:t>
      </w:r>
      <w:r w:rsidRPr="00D97F62">
        <w:t xml:space="preserve"> work placements </w:t>
      </w:r>
      <w:r w:rsidR="00CE6C5F">
        <w:t>that</w:t>
      </w:r>
      <w:r w:rsidRPr="00D97F62">
        <w:t xml:space="preserve"> we follow as required. </w:t>
      </w:r>
    </w:p>
    <w:p w14:paraId="345540B4" w14:textId="2106879A" w:rsidR="00944872" w:rsidRPr="00D97F62" w:rsidRDefault="00944872" w:rsidP="00D97F62">
      <w:pPr>
        <w:pStyle w:val="WPBullet"/>
      </w:pPr>
      <w:r w:rsidRPr="00D97F62">
        <w:t xml:space="preserve">DBS </w:t>
      </w:r>
      <w:r w:rsidR="00CE6C5F">
        <w:t>d</w:t>
      </w:r>
      <w:r w:rsidRPr="00D97F62">
        <w:t xml:space="preserve">isclosure copies, if held, will be destroyed as soon as they are added to the DBS </w:t>
      </w:r>
      <w:proofErr w:type="gramStart"/>
      <w:r w:rsidR="00CE6C5F">
        <w:t>l</w:t>
      </w:r>
      <w:r w:rsidRPr="00D97F62">
        <w:t>og</w:t>
      </w:r>
      <w:proofErr w:type="gramEnd"/>
    </w:p>
    <w:p w14:paraId="45A00D76" w14:textId="3CFE4648" w:rsidR="00944872" w:rsidRPr="00884E2C" w:rsidRDefault="00944872" w:rsidP="00CE6C5F">
      <w:pPr>
        <w:pStyle w:val="WPHeading2"/>
      </w:pPr>
      <w:r w:rsidRPr="00884E2C">
        <w:t>The</w:t>
      </w:r>
      <w:r w:rsidR="00CE6C5F">
        <w:t xml:space="preserve"> DBS</w:t>
      </w:r>
      <w:r w:rsidRPr="00884E2C">
        <w:t xml:space="preserve"> Code of Practice</w:t>
      </w:r>
    </w:p>
    <w:p w14:paraId="28313A11" w14:textId="0096D75E" w:rsidR="00944872" w:rsidRPr="00884E2C" w:rsidRDefault="00944872" w:rsidP="00D97F62">
      <w:pPr>
        <w:pStyle w:val="WPParagraph"/>
      </w:pPr>
      <w:r w:rsidRPr="00884E2C">
        <w:t xml:space="preserve">All organisations using the DBS checking service must comply with the above </w:t>
      </w:r>
      <w:r w:rsidR="00CE6C5F">
        <w:t>c</w:t>
      </w:r>
      <w:r w:rsidRPr="00884E2C">
        <w:t xml:space="preserve">ode, which is issued under Section 122(2) of the Police Act 1997. The </w:t>
      </w:r>
      <w:r w:rsidR="00CE6C5F">
        <w:t>c</w:t>
      </w:r>
      <w:r w:rsidRPr="00884E2C">
        <w:t xml:space="preserve">ode is there to ensure that organisations are aware of their obligations that the information released will be used fairly. The </w:t>
      </w:r>
      <w:r w:rsidR="00CE6C5F">
        <w:t>c</w:t>
      </w:r>
      <w:r w:rsidRPr="00884E2C">
        <w:t>ode also ensures that sensitive personal information disclosed by the DBS is stored and handled appropriately and is kept for only as long as necessary</w:t>
      </w:r>
      <w:r w:rsidR="00CE6C5F">
        <w:t>:</w:t>
      </w:r>
      <w:r w:rsidRPr="00884E2C">
        <w:t xml:space="preserve"> </w:t>
      </w:r>
      <w:hyperlink r:id="rId14" w:history="1">
        <w:r w:rsidRPr="00884E2C">
          <w:rPr>
            <w:color w:val="0000FF"/>
            <w:u w:val="single"/>
          </w:rPr>
          <w:t>https://www.gov.uk/government/publications/dbs-code-of-practice</w:t>
        </w:r>
      </w:hyperlink>
      <w:r w:rsidRPr="00884E2C">
        <w:t xml:space="preserve"> </w:t>
      </w:r>
    </w:p>
    <w:p w14:paraId="038D5B9F" w14:textId="77777777" w:rsidR="00944872" w:rsidRPr="00884E2C" w:rsidRDefault="00944872" w:rsidP="00D97F62">
      <w:pPr>
        <w:pStyle w:val="WPHeading2"/>
      </w:pPr>
      <w:r w:rsidRPr="00884E2C">
        <w:t>Storing Information</w:t>
      </w:r>
    </w:p>
    <w:p w14:paraId="61009423" w14:textId="32455B5F" w:rsidR="00944872" w:rsidRPr="00884E2C" w:rsidRDefault="00944872" w:rsidP="00D97F62">
      <w:pPr>
        <w:pStyle w:val="WPParagraph"/>
      </w:pPr>
      <w:r w:rsidRPr="00884E2C">
        <w:t xml:space="preserve">The correct storage of the information from a DBS certificate is important. The </w:t>
      </w:r>
      <w:r w:rsidR="00354CC1">
        <w:t xml:space="preserve">DBS </w:t>
      </w:r>
      <w:r w:rsidRPr="00884E2C">
        <w:t xml:space="preserve">Code </w:t>
      </w:r>
      <w:r w:rsidR="00354CC1">
        <w:t xml:space="preserve">of Practice </w:t>
      </w:r>
      <w:r w:rsidRPr="00884E2C">
        <w:t xml:space="preserve">requires that the information revealed is considered only for the purpose for which it was obtained and should be destroyed after a suitable period, usually no more than </w:t>
      </w:r>
      <w:r w:rsidR="00354CC1">
        <w:t>six</w:t>
      </w:r>
      <w:r w:rsidRPr="00884E2C">
        <w:t xml:space="preserve"> months from the date of issue</w:t>
      </w:r>
    </w:p>
    <w:p w14:paraId="2704F6D5" w14:textId="5E6C067F" w:rsidR="00944872" w:rsidRPr="00354CC1" w:rsidRDefault="00944872" w:rsidP="00D97F62">
      <w:pPr>
        <w:pStyle w:val="WPParagraph"/>
      </w:pPr>
      <w:r w:rsidRPr="00884E2C">
        <w:t>More information on the storage and handling of DBS information can be found</w:t>
      </w:r>
      <w:r w:rsidR="00354CC1">
        <w:t xml:space="preserve"> at: </w:t>
      </w:r>
      <w:hyperlink r:id="rId15" w:history="1">
        <w:r w:rsidR="00354CC1" w:rsidRPr="00ED0FF6">
          <w:rPr>
            <w:rStyle w:val="Hyperlink"/>
          </w:rPr>
          <w:t>www.gov.uk/government/publications/handling-of-dbs-certificate-information</w:t>
        </w:r>
      </w:hyperlink>
      <w:r w:rsidR="00D97F62">
        <w:rPr>
          <w:color w:val="FF0000"/>
        </w:rPr>
        <w:t xml:space="preserve"> </w:t>
      </w:r>
    </w:p>
    <w:p w14:paraId="047E0D31" w14:textId="0EA7256D" w:rsidR="00944872" w:rsidRPr="00884E2C" w:rsidRDefault="00944872" w:rsidP="00D97F62">
      <w:pPr>
        <w:pStyle w:val="WPParagraph"/>
      </w:pPr>
      <w:r w:rsidRPr="00884E2C">
        <w:t xml:space="preserve">DBS can refuse to issue a disclosure certificate if </w:t>
      </w:r>
      <w:r w:rsidR="00354CC1">
        <w:t>it</w:t>
      </w:r>
      <w:r w:rsidRPr="00884E2C">
        <w:t xml:space="preserve"> believe</w:t>
      </w:r>
      <w:r w:rsidR="00354CC1">
        <w:t>s</w:t>
      </w:r>
      <w:r w:rsidRPr="00884E2C">
        <w:t xml:space="preserve"> the </w:t>
      </w:r>
      <w:r w:rsidR="00354CC1">
        <w:t>c</w:t>
      </w:r>
      <w:r w:rsidRPr="00884E2C">
        <w:t>ode is not being followed</w:t>
      </w:r>
    </w:p>
    <w:p w14:paraId="72CCD309" w14:textId="77777777" w:rsidR="00944872" w:rsidRPr="00884E2C" w:rsidRDefault="00944872" w:rsidP="00D97F62">
      <w:pPr>
        <w:pStyle w:val="WPHeading2"/>
      </w:pPr>
      <w:r w:rsidRPr="00884E2C">
        <w:t xml:space="preserve">Deletion of Data Requests </w:t>
      </w:r>
    </w:p>
    <w:p w14:paraId="36C8EFFD" w14:textId="77777777" w:rsidR="00944872" w:rsidRPr="00884E2C" w:rsidRDefault="00944872" w:rsidP="00D97F62">
      <w:pPr>
        <w:pStyle w:val="WPParagraph"/>
      </w:pPr>
      <w:r w:rsidRPr="00884E2C">
        <w:t xml:space="preserve">These can only be processed by using the appropriate template from the DBS website. </w:t>
      </w:r>
    </w:p>
    <w:p w14:paraId="55AB9028" w14:textId="77777777" w:rsidR="00944872" w:rsidRPr="00884E2C" w:rsidRDefault="00944872" w:rsidP="00D97F62">
      <w:pPr>
        <w:pStyle w:val="WPHeading2"/>
      </w:pPr>
      <w:r w:rsidRPr="00884E2C">
        <w:t>Portability Requests</w:t>
      </w:r>
    </w:p>
    <w:p w14:paraId="31C620CE" w14:textId="77777777" w:rsidR="00944872" w:rsidRPr="00884E2C" w:rsidRDefault="00944872" w:rsidP="00D97F62">
      <w:pPr>
        <w:pStyle w:val="WPParagraph"/>
      </w:pPr>
      <w:r w:rsidRPr="00884E2C">
        <w:t>These can only be processed by using the appropriate template from the DBS website.</w:t>
      </w:r>
    </w:p>
    <w:p w14:paraId="18E54340" w14:textId="77777777" w:rsidR="00944872" w:rsidRPr="00884E2C" w:rsidRDefault="00944872" w:rsidP="00D97F62">
      <w:pPr>
        <w:pStyle w:val="WPHeading2"/>
      </w:pPr>
      <w:r w:rsidRPr="00884E2C">
        <w:t>DBS Process</w:t>
      </w:r>
    </w:p>
    <w:p w14:paraId="2E519B82" w14:textId="3D537055" w:rsidR="00944872" w:rsidRPr="00884E2C" w:rsidRDefault="00944872" w:rsidP="00D97F62">
      <w:pPr>
        <w:pStyle w:val="WPParagraph"/>
      </w:pPr>
      <w:r w:rsidRPr="00884E2C">
        <w:t xml:space="preserve">The DBS disclosure can only be processed by the completion of all documentation and the ID validation process for all applicants. This means strict adherence to the </w:t>
      </w:r>
      <w:r w:rsidR="00354CC1">
        <w:t xml:space="preserve">DBS </w:t>
      </w:r>
      <w:r w:rsidRPr="00884E2C">
        <w:t>Code</w:t>
      </w:r>
      <w:r w:rsidR="00354CC1">
        <w:t xml:space="preserve"> of Practice</w:t>
      </w:r>
      <w:r w:rsidRPr="00884E2C">
        <w:t xml:space="preserve">, including the </w:t>
      </w:r>
      <w:r w:rsidR="00354CC1">
        <w:t>three</w:t>
      </w:r>
      <w:r w:rsidRPr="00884E2C">
        <w:t xml:space="preserve">-route identity process to validate the </w:t>
      </w:r>
      <w:r w:rsidR="00354CC1" w:rsidRPr="00884E2C">
        <w:t xml:space="preserve">name, date of birth and address </w:t>
      </w:r>
      <w:r w:rsidRPr="00884E2C">
        <w:t>of the applicant. Failure to validate because of a lack of the required documentation means the applicant will be asked to attend for fingerprinting at their local police station, which could lead to delays in the application process.</w:t>
      </w:r>
    </w:p>
    <w:p w14:paraId="0BC798FB" w14:textId="394F1ADF" w:rsidR="00944872" w:rsidRPr="00884E2C" w:rsidRDefault="00354CC1" w:rsidP="00D97F62">
      <w:pPr>
        <w:pStyle w:val="WPParagraph"/>
      </w:pPr>
      <w:r>
        <w:t>In the event of a</w:t>
      </w:r>
      <w:r w:rsidR="00944872" w:rsidRPr="00884E2C">
        <w:t>ny discrepancy between the information provided on the DBS application form and the identity documents supplied</w:t>
      </w:r>
      <w:r>
        <w:t>,</w:t>
      </w:r>
      <w:r w:rsidR="00944872" w:rsidRPr="00884E2C">
        <w:t xml:space="preserve"> and where fraud is not suspected, further clarification should be sought from the applicant.</w:t>
      </w:r>
    </w:p>
    <w:p w14:paraId="034484FE" w14:textId="45094D63" w:rsidR="00944872" w:rsidRPr="00884E2C" w:rsidRDefault="00944872" w:rsidP="00D97F62">
      <w:pPr>
        <w:pStyle w:val="WPParagraph"/>
        <w:rPr>
          <w:color w:val="FF0000"/>
        </w:rPr>
      </w:pPr>
      <w:r w:rsidRPr="00884E2C">
        <w:lastRenderedPageBreak/>
        <w:t>Any suspected fraud e.g. false ID or d</w:t>
      </w:r>
      <w:r w:rsidR="00354CC1">
        <w:t>o</w:t>
      </w:r>
      <w:r w:rsidRPr="00884E2C">
        <w:t>cuments should be reported to the Action Fraud website</w:t>
      </w:r>
      <w:r w:rsidRPr="00884E2C">
        <w:rPr>
          <w:color w:val="FF0000"/>
        </w:rPr>
        <w:t xml:space="preserve">. </w:t>
      </w:r>
      <w:hyperlink r:id="rId16" w:history="1">
        <w:r w:rsidRPr="00884E2C">
          <w:rPr>
            <w:color w:val="0000FF"/>
            <w:u w:val="single"/>
          </w:rPr>
          <w:t>www.actionfraud.org.uk/report_fraud</w:t>
        </w:r>
      </w:hyperlink>
      <w:r w:rsidR="00211E97" w:rsidRPr="00211E97">
        <w:rPr>
          <w:u w:val="single"/>
        </w:rPr>
        <w:t>.</w:t>
      </w:r>
      <w:r w:rsidRPr="00211E97">
        <w:t xml:space="preserve"> </w:t>
      </w:r>
    </w:p>
    <w:p w14:paraId="76AEB366" w14:textId="77777777" w:rsidR="00944872" w:rsidRPr="00884E2C" w:rsidRDefault="00944872" w:rsidP="00D97F62">
      <w:pPr>
        <w:pStyle w:val="WPHeading2"/>
      </w:pPr>
      <w:r w:rsidRPr="00884E2C">
        <w:t>DBS Update Service</w:t>
      </w:r>
    </w:p>
    <w:p w14:paraId="272559ED" w14:textId="1515BB9D" w:rsidR="00944872" w:rsidRPr="00884E2C" w:rsidRDefault="00944872" w:rsidP="00D97F62">
      <w:pPr>
        <w:pStyle w:val="WPParagraph"/>
      </w:pPr>
      <w:r w:rsidRPr="00884E2C">
        <w:t xml:space="preserve">This service lets employers check the status of an existing DBS certificate if it is for the same workforce where the same type and level of DBS </w:t>
      </w:r>
      <w:r w:rsidR="0006589C">
        <w:t>are</w:t>
      </w:r>
      <w:r w:rsidRPr="00884E2C">
        <w:t xml:space="preserve"> required and where you have </w:t>
      </w:r>
      <w:r w:rsidR="00677440">
        <w:t xml:space="preserve">the </w:t>
      </w:r>
      <w:r w:rsidRPr="00884E2C">
        <w:t>permission of the individual. The limit to the consent that the individual gives includes:</w:t>
      </w:r>
    </w:p>
    <w:p w14:paraId="5EF7AC0B" w14:textId="7945F2C1" w:rsidR="00944872" w:rsidRPr="00884E2C" w:rsidRDefault="00677440" w:rsidP="00D97F62">
      <w:pPr>
        <w:pStyle w:val="WPBullet"/>
      </w:pPr>
      <w:r w:rsidRPr="00884E2C">
        <w:t>They can show their certificate to anyone because it is their information</w:t>
      </w:r>
      <w:r>
        <w:t>.</w:t>
      </w:r>
    </w:p>
    <w:p w14:paraId="5E8FFEC1" w14:textId="3CDF1D30" w:rsidR="00944872" w:rsidRPr="00884E2C" w:rsidRDefault="00677440" w:rsidP="00D97F62">
      <w:pPr>
        <w:pStyle w:val="WPBullet"/>
      </w:pPr>
      <w:r w:rsidRPr="00884E2C">
        <w:t>Can give consent to an employer</w:t>
      </w:r>
      <w:r>
        <w:t>,</w:t>
      </w:r>
      <w:r w:rsidRPr="00884E2C">
        <w:t xml:space="preserve"> so they can </w:t>
      </w:r>
      <w:r w:rsidR="00944872" w:rsidRPr="00884E2C">
        <w:t>view their status on the update service</w:t>
      </w:r>
      <w:r>
        <w:t>.</w:t>
      </w:r>
    </w:p>
    <w:p w14:paraId="552D2D5F" w14:textId="0B7ED006" w:rsidR="00944872" w:rsidRPr="00884E2C" w:rsidRDefault="00944872" w:rsidP="00D97F62">
      <w:pPr>
        <w:pStyle w:val="WPParagraph"/>
        <w:rPr>
          <w:color w:val="FF0000"/>
        </w:rPr>
      </w:pPr>
      <w:r w:rsidRPr="00884E2C">
        <w:t>The employer can only make the status check if they can also legally request a new DBS application for the role the individual will be working in. Full guidance on the update service can be found</w:t>
      </w:r>
      <w:r w:rsidR="00677440">
        <w:t xml:space="preserve"> at:</w:t>
      </w:r>
      <w:r w:rsidRPr="00884E2C">
        <w:t xml:space="preserve"> </w:t>
      </w:r>
      <w:hyperlink r:id="rId17" w:history="1">
        <w:r w:rsidRPr="00884E2C">
          <w:rPr>
            <w:color w:val="0000FF"/>
            <w:u w:val="single"/>
          </w:rPr>
          <w:t>www.gov.uk/government/publications/dbs-update-service-employer-guide</w:t>
        </w:r>
      </w:hyperlink>
      <w:r w:rsidRPr="00884E2C">
        <w:rPr>
          <w:color w:val="FF0000"/>
        </w:rPr>
        <w:t xml:space="preserve"> </w:t>
      </w:r>
    </w:p>
    <w:p w14:paraId="45BE8EB0" w14:textId="77777777" w:rsidR="00944872" w:rsidRPr="00884E2C" w:rsidRDefault="00944872" w:rsidP="00D97F62">
      <w:pPr>
        <w:pStyle w:val="WPHeading2"/>
        <w:rPr>
          <w:lang w:val="en-GB"/>
        </w:rPr>
      </w:pPr>
      <w:r w:rsidRPr="00884E2C">
        <w:rPr>
          <w:lang w:val="en-GB"/>
        </w:rPr>
        <w:t xml:space="preserve">Making a Referral </w:t>
      </w:r>
    </w:p>
    <w:p w14:paraId="2EA17379" w14:textId="70747B7F" w:rsidR="00944872" w:rsidRPr="00C0603B" w:rsidRDefault="00944872" w:rsidP="00D97F62">
      <w:pPr>
        <w:pStyle w:val="WPParagraph"/>
        <w:rPr>
          <w:color w:val="0070C0"/>
        </w:rPr>
      </w:pPr>
      <w:r w:rsidRPr="00884E2C">
        <w:t>To fulfil the company’s legal obligations and procedures for referring to the DBS</w:t>
      </w:r>
      <w:r w:rsidR="00677440">
        <w:t>,</w:t>
      </w:r>
      <w:r w:rsidRPr="00884E2C">
        <w:t xml:space="preserve"> the referral system is set out below. </w:t>
      </w:r>
      <w:r w:rsidR="009B11C8" w:rsidRPr="00C0603B">
        <w:t xml:space="preserve">The form is accessed </w:t>
      </w:r>
      <w:r w:rsidR="00677440">
        <w:t xml:space="preserve">at: </w:t>
      </w:r>
      <w:hyperlink r:id="rId18" w:history="1">
        <w:r w:rsidR="00677440" w:rsidRPr="00ED0FF6">
          <w:rPr>
            <w:rStyle w:val="Hyperlink"/>
          </w:rPr>
          <w:t>https://www.gov.uk/guidance/barring-referrals</w:t>
        </w:r>
      </w:hyperlink>
      <w:r w:rsidR="00D97F62">
        <w:t xml:space="preserve"> </w:t>
      </w:r>
    </w:p>
    <w:p w14:paraId="02D7C62C" w14:textId="77777777" w:rsidR="00944872" w:rsidRPr="00884E2C" w:rsidRDefault="00944872" w:rsidP="006B3EA5">
      <w:pPr>
        <w:pStyle w:val="WPHeading3"/>
      </w:pPr>
      <w:bookmarkStart w:id="14" w:name="_Toc408410513"/>
      <w:bookmarkStart w:id="15" w:name="_Toc408495708"/>
      <w:bookmarkStart w:id="16" w:name="_Toc409431212"/>
      <w:r w:rsidRPr="00884E2C">
        <w:t>When to Refer</w:t>
      </w:r>
      <w:bookmarkEnd w:id="14"/>
      <w:bookmarkEnd w:id="15"/>
      <w:bookmarkEnd w:id="16"/>
    </w:p>
    <w:p w14:paraId="2ADA37F7" w14:textId="1381AD4D" w:rsidR="00944872" w:rsidRPr="00884E2C" w:rsidRDefault="00944872" w:rsidP="00D97F62">
      <w:pPr>
        <w:pStyle w:val="WPParagraph"/>
      </w:pPr>
      <w:r w:rsidRPr="00677440">
        <w:t>The Safeguarding Vulnerable Groups Act (SVGA) 2006 and the Safeguarding Vulnerable Groups (Northern Ireland) Order (SVGO) 2007 place a duty on</w:t>
      </w:r>
      <w:r w:rsidRPr="00884E2C">
        <w:t xml:space="preserve"> employers of people working with children or vulnerable adults to make a referral to the DBS in certain circumstances. This is when an employer has </w:t>
      </w:r>
      <w:r w:rsidRPr="00884E2C">
        <w:rPr>
          <w:b/>
          <w:bCs/>
        </w:rPr>
        <w:t xml:space="preserve">dismissed or removed </w:t>
      </w:r>
      <w:r w:rsidRPr="00884E2C">
        <w:t>a person from working with children or vulnerable adults (or would or may have</w:t>
      </w:r>
      <w:r w:rsidR="00677440">
        <w:t>,</w:t>
      </w:r>
      <w:r w:rsidRPr="00884E2C">
        <w:t xml:space="preserve"> if the person had not left or resigned</w:t>
      </w:r>
      <w:r w:rsidR="00677440">
        <w:t>,</w:t>
      </w:r>
      <w:r w:rsidRPr="00884E2C">
        <w:t xml:space="preserve"> etc.) because the person has:</w:t>
      </w:r>
    </w:p>
    <w:p w14:paraId="10A1B822" w14:textId="630B9F1A" w:rsidR="00944872" w:rsidRPr="00884E2C" w:rsidRDefault="00944872" w:rsidP="00D97F62">
      <w:pPr>
        <w:pStyle w:val="WPBullet"/>
      </w:pPr>
      <w:r w:rsidRPr="00884E2C">
        <w:t>Been cautioned or convicted for a relevant offence</w:t>
      </w:r>
      <w:r w:rsidR="00677440">
        <w:t>,</w:t>
      </w:r>
    </w:p>
    <w:p w14:paraId="272199B7" w14:textId="4CFBC087" w:rsidR="00944872" w:rsidRPr="00884E2C" w:rsidRDefault="00944872" w:rsidP="00D97F62">
      <w:pPr>
        <w:pStyle w:val="WPBullet"/>
      </w:pPr>
      <w:r w:rsidRPr="00884E2C">
        <w:t xml:space="preserve">Engaged in relevant conduct </w:t>
      </w:r>
      <w:r w:rsidR="0006589C">
        <w:t>concerning</w:t>
      </w:r>
      <w:r w:rsidRPr="00884E2C">
        <w:t xml:space="preserve"> children and/or vulnerable adults </w:t>
      </w:r>
      <w:r w:rsidR="00677440">
        <w:t>(</w:t>
      </w:r>
      <w:proofErr w:type="gramStart"/>
      <w:r w:rsidRPr="00884E2C">
        <w:t>i.e.</w:t>
      </w:r>
      <w:proofErr w:type="gramEnd"/>
      <w:r w:rsidRPr="00884E2C">
        <w:t xml:space="preserve"> an action or inaction </w:t>
      </w:r>
      <w:r w:rsidR="00677440">
        <w:t>[</w:t>
      </w:r>
      <w:r w:rsidRPr="00884E2C">
        <w:t>neglect</w:t>
      </w:r>
      <w:r w:rsidR="00677440">
        <w:t>]</w:t>
      </w:r>
      <w:r w:rsidRPr="00884E2C">
        <w:t xml:space="preserve"> that has harmed a child or vulnerable adult or put them at risk of harm</w:t>
      </w:r>
      <w:r w:rsidR="00677440">
        <w:t>),</w:t>
      </w:r>
      <w:r w:rsidRPr="00884E2C">
        <w:t xml:space="preserve"> or,</w:t>
      </w:r>
    </w:p>
    <w:p w14:paraId="4F12BF25" w14:textId="6C418308" w:rsidR="00944872" w:rsidRPr="00884E2C" w:rsidRDefault="00944872" w:rsidP="00D97F62">
      <w:pPr>
        <w:pStyle w:val="WPBullet"/>
        <w:rPr>
          <w:b/>
        </w:rPr>
      </w:pPr>
      <w:r w:rsidRPr="00884E2C">
        <w:t xml:space="preserve">Satisfied the </w:t>
      </w:r>
      <w:r w:rsidR="00677440" w:rsidRPr="00884E2C">
        <w:t xml:space="preserve">harm test </w:t>
      </w:r>
      <w:r w:rsidR="0006589C">
        <w:t>concerning</w:t>
      </w:r>
      <w:r w:rsidRPr="00884E2C">
        <w:t xml:space="preserve"> children and/or vulnerable adults</w:t>
      </w:r>
      <w:r w:rsidR="00677440">
        <w:t xml:space="preserve"> (</w:t>
      </w:r>
      <w:proofErr w:type="gramStart"/>
      <w:r w:rsidRPr="00884E2C">
        <w:t>i.e.</w:t>
      </w:r>
      <w:proofErr w:type="gramEnd"/>
      <w:r w:rsidRPr="00884E2C">
        <w:t xml:space="preserve"> there has been no relevant conduct </w:t>
      </w:r>
      <w:r w:rsidR="00677440">
        <w:t>[</w:t>
      </w:r>
      <w:r w:rsidRPr="00884E2C">
        <w:t>i.e. no action or inaction</w:t>
      </w:r>
      <w:r w:rsidR="00677440">
        <w:t xml:space="preserve">] </w:t>
      </w:r>
      <w:r w:rsidRPr="00884E2C">
        <w:t>but a risk of harm to a child or vulnerable adult still exists</w:t>
      </w:r>
      <w:r w:rsidR="00677440">
        <w:t>)</w:t>
      </w:r>
      <w:r w:rsidRPr="00884E2C">
        <w:t>.</w:t>
      </w:r>
    </w:p>
    <w:p w14:paraId="1D3BDB17" w14:textId="77777777" w:rsidR="00944872" w:rsidRPr="00884E2C" w:rsidRDefault="00944872" w:rsidP="006B3EA5">
      <w:pPr>
        <w:pStyle w:val="WPHeading3"/>
      </w:pPr>
      <w:r w:rsidRPr="00884E2C">
        <w:t>How to Refer</w:t>
      </w:r>
    </w:p>
    <w:p w14:paraId="6163C7F6" w14:textId="284CBD39" w:rsidR="00944872" w:rsidRPr="00884E2C" w:rsidRDefault="00944872" w:rsidP="00D97F62">
      <w:pPr>
        <w:pStyle w:val="WPBullet"/>
      </w:pPr>
      <w:bookmarkStart w:id="17" w:name="DbsAndDbsReferralInput1"/>
      <w:bookmarkEnd w:id="17"/>
      <w:r w:rsidRPr="00884E2C">
        <w:t xml:space="preserve">After an incident has been reported or an allegation made that a </w:t>
      </w:r>
      <w:r w:rsidR="005D1A42">
        <w:t>service user</w:t>
      </w:r>
      <w:r w:rsidRPr="00884E2C">
        <w:t xml:space="preserve"> has been abused</w:t>
      </w:r>
      <w:r w:rsidR="0044350D">
        <w:t>,</w:t>
      </w:r>
      <w:r w:rsidRPr="00884E2C">
        <w:t xml:space="preserve"> there will be a thorough investigation that follows the company’s disciplinary procedures.</w:t>
      </w:r>
    </w:p>
    <w:p w14:paraId="4BFB07E6" w14:textId="2EB80557" w:rsidR="00944872" w:rsidRPr="00884E2C" w:rsidRDefault="00944872" w:rsidP="00D97F62">
      <w:pPr>
        <w:pStyle w:val="WPBullet"/>
      </w:pPr>
      <w:r w:rsidRPr="00884E2C">
        <w:t xml:space="preserve">The local authority </w:t>
      </w:r>
      <w:r w:rsidR="0044350D">
        <w:t xml:space="preserve">(LA) </w:t>
      </w:r>
      <w:r w:rsidRPr="00884E2C">
        <w:t xml:space="preserve">safeguarding </w:t>
      </w:r>
      <w:r w:rsidR="0044350D">
        <w:t xml:space="preserve">team </w:t>
      </w:r>
      <w:r w:rsidRPr="00884E2C">
        <w:t>will be informed immediately, and, in some cases, there may be a police investigation.</w:t>
      </w:r>
    </w:p>
    <w:p w14:paraId="786AF318" w14:textId="67764636" w:rsidR="00944872" w:rsidRPr="00884E2C" w:rsidRDefault="00944872" w:rsidP="00D97F62">
      <w:pPr>
        <w:pStyle w:val="WPBullet"/>
      </w:pPr>
      <w:r w:rsidRPr="00884E2C">
        <w:t>During such an investigation</w:t>
      </w:r>
      <w:r w:rsidR="0044350D">
        <w:t>,</w:t>
      </w:r>
      <w:r w:rsidRPr="00884E2C">
        <w:t xml:space="preserve"> this organisation will take all possible steps to ensure that the </w:t>
      </w:r>
      <w:r w:rsidR="005D1A42">
        <w:t>service user</w:t>
      </w:r>
      <w:r w:rsidRPr="00884E2C">
        <w:t>s in question are kept safe and well</w:t>
      </w:r>
      <w:r w:rsidR="0044350D">
        <w:t xml:space="preserve"> </w:t>
      </w:r>
      <w:r w:rsidRPr="00884E2C">
        <w:t>protected from any possible further incidents.</w:t>
      </w:r>
    </w:p>
    <w:p w14:paraId="39FCD92E" w14:textId="77777777" w:rsidR="00944872" w:rsidRPr="00884E2C" w:rsidRDefault="00944872" w:rsidP="00D97F62">
      <w:pPr>
        <w:pStyle w:val="WPBullet"/>
      </w:pPr>
      <w:r w:rsidRPr="00884E2C">
        <w:lastRenderedPageBreak/>
        <w:t>In most instances the employee(s) in question will be suspended or, if there is clear evidence of misconduct, they may already be dismissed.</w:t>
      </w:r>
    </w:p>
    <w:p w14:paraId="34247E1F" w14:textId="1A89B98D" w:rsidR="00944872" w:rsidRPr="00884E2C" w:rsidRDefault="00944872" w:rsidP="00D97F62">
      <w:pPr>
        <w:pStyle w:val="WPBullet"/>
      </w:pPr>
      <w:r w:rsidRPr="00884E2C">
        <w:t>Once it is clear that misconduct resulting in harm or possible harm has occurred and the worker(s) involved remains a risk to vulnerable people</w:t>
      </w:r>
      <w:r w:rsidR="00060D8B">
        <w:t>,</w:t>
      </w:r>
      <w:r w:rsidRPr="00884E2C">
        <w:t xml:space="preserve"> the company’s manager must</w:t>
      </w:r>
      <w:r w:rsidR="00060D8B">
        <w:t>,</w:t>
      </w:r>
      <w:r w:rsidRPr="00884E2C">
        <w:t xml:space="preserve"> by law</w:t>
      </w:r>
      <w:r w:rsidR="00060D8B">
        <w:t>,</w:t>
      </w:r>
      <w:r w:rsidRPr="00884E2C">
        <w:t xml:space="preserve"> refer that person to the DBS.</w:t>
      </w:r>
    </w:p>
    <w:p w14:paraId="77073EE1" w14:textId="6146A8B7" w:rsidR="00944872" w:rsidRPr="00884E2C" w:rsidRDefault="00944872" w:rsidP="00D97F62">
      <w:pPr>
        <w:pStyle w:val="WPBullet"/>
      </w:pPr>
      <w:r w:rsidRPr="00884E2C">
        <w:t xml:space="preserve">However, it is important to note that a DBS referral might be made at any stage in the procedures used for establishing whether misconduct causing harm to a </w:t>
      </w:r>
      <w:r w:rsidR="005D1A42">
        <w:t>service user</w:t>
      </w:r>
      <w:r w:rsidRPr="00884E2C">
        <w:t xml:space="preserve"> has taken place</w:t>
      </w:r>
      <w:r w:rsidR="00060D8B">
        <w:t>. T</w:t>
      </w:r>
      <w:r w:rsidRPr="00884E2C">
        <w:t>he company does not have to complete the investigation before making a referral</w:t>
      </w:r>
      <w:r w:rsidR="00060D8B">
        <w:t>;</w:t>
      </w:r>
      <w:r w:rsidRPr="00884E2C">
        <w:t xml:space="preserve"> the paramount principle is the protection and safety of the vulnerable person.</w:t>
      </w:r>
    </w:p>
    <w:p w14:paraId="6C0432D9" w14:textId="2303FC2A" w:rsidR="00944872" w:rsidRPr="00884E2C" w:rsidRDefault="00944872" w:rsidP="00D97F62">
      <w:pPr>
        <w:pStyle w:val="WPBullet"/>
      </w:pPr>
      <w:r w:rsidRPr="00884E2C">
        <w:t>The DBS team will decide based on the information made available if the worker should be investigated. If</w:t>
      </w:r>
      <w:r w:rsidR="00060D8B">
        <w:t>,</w:t>
      </w:r>
      <w:r w:rsidRPr="00884E2C">
        <w:t xml:space="preserve"> after assessment</w:t>
      </w:r>
      <w:r w:rsidR="00060D8B">
        <w:t>,</w:t>
      </w:r>
      <w:r w:rsidRPr="00884E2C">
        <w:t xml:space="preserve"> the person is not placed on the list, the person is not barred from current or future employment in a </w:t>
      </w:r>
      <w:r w:rsidR="00060D8B" w:rsidRPr="00884E2C">
        <w:t>regulated activity</w:t>
      </w:r>
      <w:r w:rsidRPr="00884E2C">
        <w:t xml:space="preserve">. This does not necessarily mean that the company will re-employ the person if </w:t>
      </w:r>
      <w:r w:rsidR="00060D8B">
        <w:t>they have</w:t>
      </w:r>
      <w:r w:rsidRPr="00884E2C">
        <w:t xml:space="preserve"> been dismissed.</w:t>
      </w:r>
    </w:p>
    <w:p w14:paraId="781FAB6F" w14:textId="6AC991EE" w:rsidR="00944872" w:rsidRPr="00884E2C" w:rsidRDefault="00944872" w:rsidP="00D97F62">
      <w:pPr>
        <w:pStyle w:val="WPBullet"/>
      </w:pPr>
      <w:r w:rsidRPr="00884E2C">
        <w:t xml:space="preserve">If the person is provisionally placed on the DBS list, </w:t>
      </w:r>
      <w:r w:rsidR="00060D8B">
        <w:t>they</w:t>
      </w:r>
      <w:r w:rsidRPr="00884E2C">
        <w:t xml:space="preserve"> will no longer be able to work in </w:t>
      </w:r>
      <w:r w:rsidR="00060D8B" w:rsidRPr="00884E2C">
        <w:t>a regulated activity</w:t>
      </w:r>
      <w:r w:rsidRPr="00884E2C">
        <w:t>. A person can appeal against both provisional placement and confirmation on the DBS list following the established procedures that are not the concern of this company as an employer.</w:t>
      </w:r>
    </w:p>
    <w:p w14:paraId="7200C439" w14:textId="6D12305D" w:rsidR="00944872" w:rsidRPr="00884E2C" w:rsidRDefault="00944872" w:rsidP="00D97F62">
      <w:pPr>
        <w:pStyle w:val="WPBullet"/>
      </w:pPr>
      <w:r w:rsidRPr="00884E2C">
        <w:t xml:space="preserve">The DBS referral and assessment process </w:t>
      </w:r>
      <w:r w:rsidR="0006589C">
        <w:t>are</w:t>
      </w:r>
      <w:r w:rsidRPr="00884E2C">
        <w:t xml:space="preserve"> separate from the company’s own disciplinary and appeal procedures. The only obligation this company has is to make a referral if it considers vulnerable people have been harmed or are at risk of being harmed if the individual continues to work in a </w:t>
      </w:r>
      <w:r w:rsidR="00060D8B">
        <w:t>r</w:t>
      </w:r>
      <w:r w:rsidRPr="00884E2C">
        <w:t xml:space="preserve">egulated </w:t>
      </w:r>
      <w:r w:rsidR="00060D8B">
        <w:t>a</w:t>
      </w:r>
      <w:r w:rsidRPr="00884E2C">
        <w:t>ctivity. The DBS team will communicate all decisions to the individual once the referral has been made and investigations complete.</w:t>
      </w:r>
    </w:p>
    <w:p w14:paraId="2274A523" w14:textId="3A76518A" w:rsidR="00944872" w:rsidRPr="00884E2C" w:rsidRDefault="00944872" w:rsidP="00D97F62">
      <w:pPr>
        <w:pStyle w:val="WPBullet"/>
      </w:pPr>
      <w:r w:rsidRPr="00884E2C">
        <w:t>A statutory notification should be made within the appropriate timescale to</w:t>
      </w:r>
      <w:r w:rsidR="00060D8B">
        <w:t xml:space="preserve"> the</w:t>
      </w:r>
      <w:r w:rsidRPr="00884E2C">
        <w:t xml:space="preserve"> CQC.</w:t>
      </w:r>
    </w:p>
    <w:p w14:paraId="6FEFEEE0" w14:textId="77777777" w:rsidR="00944872" w:rsidRPr="00884E2C" w:rsidRDefault="00944872" w:rsidP="00D97F62">
      <w:pPr>
        <w:pStyle w:val="WPParagraph"/>
      </w:pPr>
      <w:r w:rsidRPr="00884E2C">
        <w:t>This policy will be read in conjunction with the Recruitment and Selection Policy</w:t>
      </w:r>
    </w:p>
    <w:p w14:paraId="2E839641" w14:textId="5D3A8F36" w:rsidR="0034591F" w:rsidRPr="00D97F62" w:rsidRDefault="00D85565" w:rsidP="00D97F62">
      <w:pPr>
        <w:pStyle w:val="WPHeading"/>
      </w:pPr>
      <w:bookmarkStart w:id="18" w:name="_Hlk527965528"/>
      <w:bookmarkStart w:id="19" w:name="_Hlk527548380"/>
      <w:r>
        <w:br/>
      </w:r>
      <w:r w:rsidR="00B14A79" w:rsidRPr="002E7BED">
        <w:t>Related Policies</w:t>
      </w:r>
      <w:r w:rsidR="002A1DEB">
        <w:t xml:space="preserve"> </w:t>
      </w:r>
    </w:p>
    <w:p w14:paraId="579DB58A" w14:textId="77777777" w:rsidR="0034591F" w:rsidRPr="00884E2C" w:rsidRDefault="0034591F" w:rsidP="00D97F62">
      <w:pPr>
        <w:pStyle w:val="WPParagraph"/>
      </w:pPr>
      <w:r w:rsidRPr="00884E2C">
        <w:t>Adult Safeguarding</w:t>
      </w:r>
    </w:p>
    <w:p w14:paraId="584A65AB" w14:textId="5EEE7F0A" w:rsidR="0034591F" w:rsidRPr="00D7130F" w:rsidRDefault="0034591F" w:rsidP="00D97F62">
      <w:pPr>
        <w:pStyle w:val="WPParagraph"/>
      </w:pPr>
      <w:r w:rsidRPr="00D7130F">
        <w:t xml:space="preserve">Data Protection Legislative </w:t>
      </w:r>
      <w:r w:rsidRPr="00081C48">
        <w:t>Framework (</w:t>
      </w:r>
      <w:r w:rsidR="00C4060D" w:rsidRPr="00081C48">
        <w:t xml:space="preserve">UK </w:t>
      </w:r>
      <w:r w:rsidRPr="00081C48">
        <w:t>GDPR)</w:t>
      </w:r>
    </w:p>
    <w:p w14:paraId="392B3899" w14:textId="77777777" w:rsidR="0034591F" w:rsidRPr="00884E2C" w:rsidRDefault="0034591F" w:rsidP="00D97F62">
      <w:pPr>
        <w:pStyle w:val="WPParagraph"/>
      </w:pPr>
      <w:r w:rsidRPr="00884E2C">
        <w:t>Duty of Candour</w:t>
      </w:r>
    </w:p>
    <w:p w14:paraId="4A271980" w14:textId="77777777" w:rsidR="0034591F" w:rsidRPr="00884E2C" w:rsidRDefault="0034591F" w:rsidP="00D97F62">
      <w:pPr>
        <w:pStyle w:val="WPParagraph"/>
      </w:pPr>
      <w:r w:rsidRPr="00884E2C">
        <w:t>Good Governance</w:t>
      </w:r>
    </w:p>
    <w:p w14:paraId="7735D2C6" w14:textId="67998C44" w:rsidR="00741927" w:rsidRPr="0073578C" w:rsidRDefault="0034591F" w:rsidP="00D97F62">
      <w:pPr>
        <w:pStyle w:val="WPParagraph"/>
      </w:pPr>
      <w:r w:rsidRPr="00884E2C">
        <w:t>Recruitment and Selection</w:t>
      </w:r>
    </w:p>
    <w:bookmarkEnd w:id="18"/>
    <w:p w14:paraId="1033F27E" w14:textId="77777777" w:rsidR="00D85565" w:rsidRDefault="00D85565" w:rsidP="00D85565">
      <w:pPr>
        <w:pStyle w:val="WPHeading"/>
        <w:spacing w:before="0"/>
      </w:pPr>
    </w:p>
    <w:p w14:paraId="58F0458E" w14:textId="7924B4AB" w:rsidR="0034591F" w:rsidRPr="00D97F62" w:rsidRDefault="002A1DEB" w:rsidP="00D85565">
      <w:pPr>
        <w:pStyle w:val="WPHeading"/>
        <w:spacing w:before="0"/>
      </w:pPr>
      <w:r w:rsidRPr="002E7BED">
        <w:t xml:space="preserve">Related </w:t>
      </w:r>
      <w:r>
        <w:t>Guidance</w:t>
      </w:r>
      <w:bookmarkEnd w:id="19"/>
    </w:p>
    <w:p w14:paraId="06F7A6F8" w14:textId="118DA599" w:rsidR="00F86D1C" w:rsidRPr="00C0603B" w:rsidRDefault="00F86D1C" w:rsidP="00D97F62">
      <w:pPr>
        <w:pStyle w:val="WPParagraph"/>
        <w:rPr>
          <w:rFonts w:eastAsia="Calibri"/>
          <w:color w:val="0070C0"/>
        </w:rPr>
      </w:pPr>
      <w:r w:rsidRPr="00C0603B">
        <w:rPr>
          <w:rFonts w:eastAsia="Calibri"/>
        </w:rPr>
        <w:t>C</w:t>
      </w:r>
      <w:r w:rsidR="00D97F62">
        <w:rPr>
          <w:rFonts w:eastAsia="Calibri"/>
        </w:rPr>
        <w:t>OVID</w:t>
      </w:r>
      <w:r w:rsidRPr="00C0603B">
        <w:rPr>
          <w:rFonts w:eastAsia="Calibri"/>
        </w:rPr>
        <w:t xml:space="preserve">-19 </w:t>
      </w:r>
      <w:r w:rsidR="001C7473">
        <w:rPr>
          <w:rFonts w:eastAsia="Calibri"/>
        </w:rPr>
        <w:t>I</w:t>
      </w:r>
      <w:r w:rsidRPr="00C0603B">
        <w:rPr>
          <w:rFonts w:eastAsia="Calibri"/>
        </w:rPr>
        <w:t xml:space="preserve">nterim </w:t>
      </w:r>
      <w:r w:rsidR="001C7473">
        <w:rPr>
          <w:rFonts w:eastAsia="Calibri"/>
        </w:rPr>
        <w:t>G</w:t>
      </w:r>
      <w:r w:rsidRPr="00C0603B">
        <w:rPr>
          <w:rFonts w:eastAsia="Calibri"/>
        </w:rPr>
        <w:t xml:space="preserve">uidance on DBS and </w:t>
      </w:r>
      <w:r w:rsidR="001C7473">
        <w:rPr>
          <w:rFonts w:eastAsia="Calibri"/>
        </w:rPr>
        <w:t>O</w:t>
      </w:r>
      <w:r w:rsidRPr="00C0603B">
        <w:rPr>
          <w:rFonts w:eastAsia="Calibri"/>
        </w:rPr>
        <w:t xml:space="preserve">ther </w:t>
      </w:r>
      <w:r w:rsidR="001C7473">
        <w:rPr>
          <w:rFonts w:eastAsia="Calibri"/>
        </w:rPr>
        <w:t>R</w:t>
      </w:r>
      <w:r w:rsidRPr="00C0603B">
        <w:rPr>
          <w:rFonts w:eastAsia="Calibri"/>
        </w:rPr>
        <w:t xml:space="preserve">ecruitment </w:t>
      </w:r>
      <w:r w:rsidR="001C7473">
        <w:rPr>
          <w:rFonts w:eastAsia="Calibri"/>
        </w:rPr>
        <w:t>C</w:t>
      </w:r>
      <w:r w:rsidRPr="00C0603B">
        <w:rPr>
          <w:rFonts w:eastAsia="Calibri"/>
        </w:rPr>
        <w:t>hecks</w:t>
      </w:r>
      <w:r w:rsidR="001C7473">
        <w:rPr>
          <w:rFonts w:eastAsia="Calibri"/>
        </w:rPr>
        <w:t xml:space="preserve">; </w:t>
      </w:r>
      <w:hyperlink r:id="rId19" w:history="1">
        <w:r w:rsidR="001C7473" w:rsidRPr="00ED0FF6">
          <w:rPr>
            <w:rStyle w:val="Hyperlink"/>
          </w:rPr>
          <w:t>https://www.cqc.org.uk/guidance-providers/all-services/covid-19-interim-guidance-dbs-other-recruitment-checks</w:t>
        </w:r>
      </w:hyperlink>
      <w:r w:rsidR="007F09AE">
        <w:t xml:space="preserve"> </w:t>
      </w:r>
    </w:p>
    <w:p w14:paraId="65CD3396" w14:textId="6D1580E6" w:rsidR="00F86D1C" w:rsidRPr="00C0603B" w:rsidRDefault="00F86D1C" w:rsidP="00D97F62">
      <w:pPr>
        <w:pStyle w:val="WPParagraph"/>
        <w:rPr>
          <w:rFonts w:eastAsia="Calibri"/>
          <w:color w:val="0070C0"/>
        </w:rPr>
      </w:pPr>
      <w:r w:rsidRPr="00C0603B">
        <w:rPr>
          <w:rFonts w:eastAsia="Calibri"/>
        </w:rPr>
        <w:t xml:space="preserve">CQC Disclosure and Barring Service DBS) </w:t>
      </w:r>
      <w:r w:rsidR="001C7473">
        <w:rPr>
          <w:rFonts w:eastAsia="Calibri"/>
        </w:rPr>
        <w:t>C</w:t>
      </w:r>
      <w:r w:rsidRPr="00C0603B">
        <w:rPr>
          <w:rFonts w:eastAsia="Calibri"/>
        </w:rPr>
        <w:t>hecks (formerly criminal record (CRB) and barring checks)</w:t>
      </w:r>
      <w:r w:rsidR="001C7473">
        <w:rPr>
          <w:rFonts w:eastAsia="Calibri"/>
        </w:rPr>
        <w:t>,</w:t>
      </w:r>
      <w:r w:rsidRPr="00C0603B">
        <w:rPr>
          <w:rFonts w:eastAsia="Calibri"/>
        </w:rPr>
        <w:t xml:space="preserve"> December 201</w:t>
      </w:r>
      <w:r w:rsidR="001C7473">
        <w:rPr>
          <w:rFonts w:eastAsia="Calibri"/>
        </w:rPr>
        <w:t xml:space="preserve">0: </w:t>
      </w:r>
      <w:hyperlink r:id="rId20" w:history="1">
        <w:r w:rsidR="001C7473" w:rsidRPr="00ED0FF6">
          <w:rPr>
            <w:rStyle w:val="Hyperlink"/>
          </w:rPr>
          <w:t>https://www.cqc.org.uk/sites/default/files/20191113_Disclosure_and_Barring_Service_DBS_checks_guidance_v7.pdf</w:t>
        </w:r>
      </w:hyperlink>
      <w:r w:rsidR="007F09AE">
        <w:t xml:space="preserve"> </w:t>
      </w:r>
    </w:p>
    <w:p w14:paraId="0C40E3E0" w14:textId="4E69096B" w:rsidR="00F86D1C" w:rsidRPr="00884E2C" w:rsidRDefault="00F86D1C" w:rsidP="00D97F62">
      <w:pPr>
        <w:pStyle w:val="WPParagraph"/>
        <w:rPr>
          <w:rFonts w:eastAsia="Calibri"/>
        </w:rPr>
      </w:pPr>
      <w:r w:rsidRPr="00884E2C">
        <w:rPr>
          <w:rFonts w:eastAsia="Calibri"/>
        </w:rPr>
        <w:lastRenderedPageBreak/>
        <w:t xml:space="preserve">DBS Update </w:t>
      </w:r>
      <w:r w:rsidR="001C7473">
        <w:rPr>
          <w:rFonts w:eastAsia="Calibri"/>
        </w:rPr>
        <w:t>S</w:t>
      </w:r>
      <w:r w:rsidRPr="00884E2C">
        <w:rPr>
          <w:rFonts w:eastAsia="Calibri"/>
        </w:rPr>
        <w:t>ervice</w:t>
      </w:r>
      <w:r w:rsidR="001C7473">
        <w:rPr>
          <w:rFonts w:eastAsia="Calibri"/>
        </w:rPr>
        <w:t>:</w:t>
      </w:r>
      <w:r w:rsidRPr="00884E2C">
        <w:rPr>
          <w:rFonts w:eastAsia="Calibri"/>
        </w:rPr>
        <w:t xml:space="preserve"> </w:t>
      </w:r>
      <w:hyperlink r:id="rId21" w:history="1">
        <w:r w:rsidRPr="00884E2C">
          <w:rPr>
            <w:rFonts w:eastAsia="Calibri"/>
            <w:color w:val="0000FF"/>
            <w:u w:val="single"/>
          </w:rPr>
          <w:t>ttps://www.gov.uk/dbs-update-service</w:t>
        </w:r>
      </w:hyperlink>
      <w:r w:rsidRPr="00884E2C">
        <w:rPr>
          <w:rFonts w:eastAsia="Calibri"/>
        </w:rPr>
        <w:t xml:space="preserve"> </w:t>
      </w:r>
    </w:p>
    <w:p w14:paraId="3072CECF" w14:textId="4FA5B5CC" w:rsidR="00F86D1C" w:rsidRPr="00884E2C" w:rsidRDefault="00F86D1C" w:rsidP="00D97F62">
      <w:pPr>
        <w:pStyle w:val="WPParagraph"/>
        <w:rPr>
          <w:rFonts w:eastAsia="Calibri"/>
        </w:rPr>
      </w:pPr>
      <w:r w:rsidRPr="00884E2C">
        <w:rPr>
          <w:rFonts w:eastAsia="Calibri"/>
        </w:rPr>
        <w:t xml:space="preserve">DBS </w:t>
      </w:r>
      <w:r w:rsidR="001C7473">
        <w:rPr>
          <w:rFonts w:eastAsia="Calibri"/>
        </w:rPr>
        <w:t>O</w:t>
      </w:r>
      <w:r w:rsidRPr="00884E2C">
        <w:rPr>
          <w:rFonts w:eastAsia="Calibri"/>
        </w:rPr>
        <w:t>fficial Site</w:t>
      </w:r>
      <w:r w:rsidR="001C7473">
        <w:rPr>
          <w:rFonts w:eastAsia="Calibri"/>
        </w:rPr>
        <w:t>:</w:t>
      </w:r>
      <w:r w:rsidRPr="00884E2C">
        <w:rPr>
          <w:rFonts w:eastAsia="Calibri"/>
        </w:rPr>
        <w:t xml:space="preserve"> </w:t>
      </w:r>
      <w:hyperlink r:id="rId22" w:history="1">
        <w:r w:rsidRPr="00884E2C">
          <w:rPr>
            <w:rFonts w:eastAsia="Calibri"/>
            <w:color w:val="0000FF"/>
            <w:u w:val="single"/>
          </w:rPr>
          <w:t>https://www.gov.uk/government/organisations/disclosure-and-barring-service</w:t>
        </w:r>
      </w:hyperlink>
      <w:r w:rsidRPr="00884E2C">
        <w:rPr>
          <w:rFonts w:eastAsia="Calibri"/>
        </w:rPr>
        <w:t xml:space="preserve"> </w:t>
      </w:r>
    </w:p>
    <w:p w14:paraId="3F74AB26" w14:textId="422599F5" w:rsidR="00F86D1C" w:rsidRPr="00884E2C" w:rsidRDefault="00F86D1C" w:rsidP="00D97F62">
      <w:pPr>
        <w:pStyle w:val="WPParagraph"/>
        <w:rPr>
          <w:rFonts w:eastAsia="Calibri"/>
        </w:rPr>
      </w:pPr>
      <w:r w:rsidRPr="00884E2C">
        <w:rPr>
          <w:rFonts w:eastAsia="Calibri"/>
        </w:rPr>
        <w:t xml:space="preserve">DBS Check: </w:t>
      </w:r>
      <w:r w:rsidR="001C7473">
        <w:rPr>
          <w:rFonts w:eastAsia="Calibri"/>
        </w:rPr>
        <w:t>G</w:t>
      </w:r>
      <w:r w:rsidRPr="00884E2C">
        <w:rPr>
          <w:rFonts w:eastAsia="Calibri"/>
        </w:rPr>
        <w:t xml:space="preserve">uidance for </w:t>
      </w:r>
      <w:r w:rsidR="001C7473">
        <w:rPr>
          <w:rFonts w:eastAsia="Calibri"/>
        </w:rPr>
        <w:t>E</w:t>
      </w:r>
      <w:r w:rsidRPr="00884E2C">
        <w:rPr>
          <w:rFonts w:eastAsia="Calibri"/>
        </w:rPr>
        <w:t>mployers</w:t>
      </w:r>
      <w:r w:rsidR="001C7473">
        <w:rPr>
          <w:rFonts w:eastAsia="Calibri"/>
        </w:rPr>
        <w:t>:</w:t>
      </w:r>
      <w:r w:rsidRPr="00884E2C">
        <w:rPr>
          <w:rFonts w:eastAsia="Calibri"/>
        </w:rPr>
        <w:t xml:space="preserve"> </w:t>
      </w:r>
      <w:hyperlink r:id="rId23" w:history="1">
        <w:r w:rsidRPr="00884E2C">
          <w:rPr>
            <w:rFonts w:eastAsia="Calibri"/>
            <w:color w:val="0000FF"/>
            <w:u w:val="single"/>
          </w:rPr>
          <w:t>https://www.gov.uk/guidance/dbs-check-requests-guidance-for-employers</w:t>
        </w:r>
      </w:hyperlink>
      <w:r w:rsidRPr="00884E2C">
        <w:rPr>
          <w:rFonts w:eastAsia="Calibri"/>
        </w:rPr>
        <w:t xml:space="preserve"> </w:t>
      </w:r>
    </w:p>
    <w:p w14:paraId="79D6A35F" w14:textId="58798417" w:rsidR="00F86D1C" w:rsidRDefault="00F86D1C" w:rsidP="00D97F62">
      <w:pPr>
        <w:pStyle w:val="WPParagraph"/>
        <w:rPr>
          <w:rFonts w:eastAsia="Calibri"/>
        </w:rPr>
      </w:pPr>
      <w:r w:rsidRPr="00884E2C">
        <w:rPr>
          <w:rFonts w:eastAsia="Calibri"/>
        </w:rPr>
        <w:t xml:space="preserve">Guidance on the </w:t>
      </w:r>
      <w:r w:rsidR="001C7473">
        <w:rPr>
          <w:rFonts w:eastAsia="Calibri"/>
        </w:rPr>
        <w:t>H</w:t>
      </w:r>
      <w:r w:rsidRPr="00884E2C">
        <w:rPr>
          <w:rFonts w:eastAsia="Calibri"/>
        </w:rPr>
        <w:t xml:space="preserve">andling of DBS </w:t>
      </w:r>
      <w:r w:rsidR="001C7473">
        <w:rPr>
          <w:rFonts w:eastAsia="Calibri"/>
        </w:rPr>
        <w:t>C</w:t>
      </w:r>
      <w:r w:rsidRPr="00884E2C">
        <w:rPr>
          <w:rFonts w:eastAsia="Calibri"/>
        </w:rPr>
        <w:t xml:space="preserve">ertificate </w:t>
      </w:r>
      <w:r w:rsidR="001C7473">
        <w:rPr>
          <w:rFonts w:eastAsia="Calibri"/>
        </w:rPr>
        <w:t>I</w:t>
      </w:r>
      <w:r w:rsidRPr="00884E2C">
        <w:rPr>
          <w:rFonts w:eastAsia="Calibri"/>
        </w:rPr>
        <w:t>nformation</w:t>
      </w:r>
      <w:r w:rsidR="001C7473">
        <w:rPr>
          <w:rFonts w:eastAsia="Calibri"/>
        </w:rPr>
        <w:t>:</w:t>
      </w:r>
      <w:r w:rsidRPr="00884E2C">
        <w:rPr>
          <w:rFonts w:eastAsia="Calibri"/>
        </w:rPr>
        <w:t xml:space="preserve"> </w:t>
      </w:r>
      <w:hyperlink r:id="rId24" w:history="1">
        <w:r w:rsidRPr="00884E2C">
          <w:rPr>
            <w:rFonts w:eastAsia="Calibri"/>
            <w:color w:val="0000FF"/>
            <w:u w:val="single"/>
          </w:rPr>
          <w:t>https://www.gov.uk/government/publications/handling-of-dbs-certificate-information/handling-of-dbs-certificate-information</w:t>
        </w:r>
      </w:hyperlink>
      <w:r w:rsidRPr="00884E2C">
        <w:rPr>
          <w:rFonts w:eastAsia="Calibri"/>
        </w:rPr>
        <w:t xml:space="preserve"> </w:t>
      </w:r>
    </w:p>
    <w:p w14:paraId="3A467A29" w14:textId="1FF0680D" w:rsidR="00F86D1C" w:rsidRPr="00884E2C" w:rsidRDefault="00F86D1C" w:rsidP="00D97F62">
      <w:pPr>
        <w:pStyle w:val="WPParagraph"/>
        <w:rPr>
          <w:rFonts w:eastAsia="Calibri"/>
        </w:rPr>
      </w:pPr>
      <w:r w:rsidRPr="00D07E09">
        <w:rPr>
          <w:rFonts w:eastAsia="Calibri"/>
        </w:rPr>
        <w:t xml:space="preserve">Basic </w:t>
      </w:r>
      <w:r w:rsidR="001C7473">
        <w:rPr>
          <w:rFonts w:eastAsia="Calibri"/>
        </w:rPr>
        <w:t>C</w:t>
      </w:r>
      <w:r w:rsidRPr="00D07E09">
        <w:rPr>
          <w:rFonts w:eastAsia="Calibri"/>
        </w:rPr>
        <w:t xml:space="preserve">heck </w:t>
      </w:r>
      <w:r w:rsidR="001C7473">
        <w:rPr>
          <w:rFonts w:eastAsia="Calibri"/>
        </w:rPr>
        <w:t>G</w:t>
      </w:r>
      <w:r w:rsidRPr="00D07E09">
        <w:rPr>
          <w:rFonts w:eastAsia="Calibri"/>
        </w:rPr>
        <w:t xml:space="preserve">uidance and </w:t>
      </w:r>
      <w:r w:rsidR="001C7473">
        <w:rPr>
          <w:rFonts w:eastAsia="Calibri"/>
        </w:rPr>
        <w:t>P</w:t>
      </w:r>
      <w:r w:rsidRPr="00D07E09">
        <w:rPr>
          <w:rFonts w:eastAsia="Calibri"/>
        </w:rPr>
        <w:t xml:space="preserve">olicies for Responsible </w:t>
      </w:r>
      <w:r w:rsidR="001C7473">
        <w:rPr>
          <w:rFonts w:eastAsia="Calibri"/>
        </w:rPr>
        <w:t>O</w:t>
      </w:r>
      <w:r w:rsidRPr="00D07E09">
        <w:rPr>
          <w:rFonts w:eastAsia="Calibri"/>
        </w:rPr>
        <w:t>rganisations</w:t>
      </w:r>
      <w:r w:rsidR="001C7473">
        <w:rPr>
          <w:rFonts w:eastAsia="Calibri"/>
        </w:rPr>
        <w:t>:</w:t>
      </w:r>
      <w:r w:rsidRPr="00D07E09">
        <w:rPr>
          <w:rFonts w:eastAsia="Calibri"/>
        </w:rPr>
        <w:t xml:space="preserve"> </w:t>
      </w:r>
      <w:hyperlink r:id="rId25" w:history="1">
        <w:r w:rsidRPr="00502FA1">
          <w:rPr>
            <w:rStyle w:val="Hyperlink"/>
            <w:rFonts w:eastAsia="Calibri"/>
          </w:rPr>
          <w:t>https://www.gov.uk/government/publications/basic-check-guidance-and-policies</w:t>
        </w:r>
      </w:hyperlink>
    </w:p>
    <w:p w14:paraId="3CC93A1B" w14:textId="5756C4D6" w:rsidR="00F86D1C" w:rsidRPr="00884E2C" w:rsidRDefault="00F86D1C" w:rsidP="00D97F62">
      <w:pPr>
        <w:pStyle w:val="WPParagraph"/>
        <w:rPr>
          <w:rFonts w:eastAsia="Calibri"/>
        </w:rPr>
      </w:pPr>
      <w:r w:rsidRPr="00884E2C">
        <w:rPr>
          <w:rFonts w:eastAsia="Calibri"/>
        </w:rPr>
        <w:t xml:space="preserve">Making </w:t>
      </w:r>
      <w:r w:rsidR="001C7473">
        <w:rPr>
          <w:rFonts w:eastAsia="Calibri"/>
        </w:rPr>
        <w:t>B</w:t>
      </w:r>
      <w:r w:rsidRPr="00884E2C">
        <w:rPr>
          <w:rFonts w:eastAsia="Calibri"/>
        </w:rPr>
        <w:t xml:space="preserve">arring </w:t>
      </w:r>
      <w:r w:rsidR="001C7473">
        <w:rPr>
          <w:rFonts w:eastAsia="Calibri"/>
        </w:rPr>
        <w:t>R</w:t>
      </w:r>
      <w:r w:rsidRPr="00884E2C">
        <w:rPr>
          <w:rFonts w:eastAsia="Calibri"/>
        </w:rPr>
        <w:t>eferrals to the DBS</w:t>
      </w:r>
      <w:r w:rsidR="001C7473">
        <w:rPr>
          <w:rFonts w:eastAsia="Calibri"/>
        </w:rPr>
        <w:t>:</w:t>
      </w:r>
      <w:r w:rsidRPr="00884E2C">
        <w:rPr>
          <w:rFonts w:eastAsia="Calibri"/>
        </w:rPr>
        <w:t xml:space="preserve"> </w:t>
      </w:r>
      <w:hyperlink r:id="rId26" w:history="1">
        <w:r w:rsidRPr="00884E2C">
          <w:rPr>
            <w:rFonts w:eastAsia="Calibri"/>
            <w:color w:val="0000FF"/>
            <w:u w:val="single"/>
          </w:rPr>
          <w:t>https://www.gov.uk/guidance/making-barring-referrals-to-the-dbs</w:t>
        </w:r>
      </w:hyperlink>
      <w:r w:rsidRPr="00884E2C">
        <w:rPr>
          <w:rFonts w:eastAsia="Calibri"/>
        </w:rPr>
        <w:t xml:space="preserve"> </w:t>
      </w:r>
    </w:p>
    <w:p w14:paraId="0EC6F507" w14:textId="41F2D7E3" w:rsidR="00F86D1C" w:rsidRPr="00884E2C" w:rsidRDefault="00F86D1C" w:rsidP="00D97F62">
      <w:pPr>
        <w:pStyle w:val="WPParagraph"/>
        <w:rPr>
          <w:rFonts w:eastAsia="Calibri"/>
        </w:rPr>
      </w:pPr>
      <w:r w:rsidRPr="00884E2C">
        <w:rPr>
          <w:rFonts w:eastAsia="Calibri"/>
        </w:rPr>
        <w:t xml:space="preserve">DBS Barring </w:t>
      </w:r>
      <w:r w:rsidR="001C7473">
        <w:rPr>
          <w:rFonts w:eastAsia="Calibri"/>
        </w:rPr>
        <w:t>R</w:t>
      </w:r>
      <w:r w:rsidRPr="00884E2C">
        <w:rPr>
          <w:rFonts w:eastAsia="Calibri"/>
        </w:rPr>
        <w:t xml:space="preserve">eferral </w:t>
      </w:r>
      <w:r w:rsidR="001C7473">
        <w:rPr>
          <w:rFonts w:eastAsia="Calibri"/>
        </w:rPr>
        <w:t>F</w:t>
      </w:r>
      <w:r w:rsidRPr="00884E2C">
        <w:rPr>
          <w:rFonts w:eastAsia="Calibri"/>
        </w:rPr>
        <w:t xml:space="preserve">orm </w:t>
      </w:r>
      <w:r w:rsidR="001C7473">
        <w:rPr>
          <w:rFonts w:eastAsia="Calibri"/>
        </w:rPr>
        <w:t>G</w:t>
      </w:r>
      <w:r w:rsidRPr="00884E2C">
        <w:rPr>
          <w:rFonts w:eastAsia="Calibri"/>
        </w:rPr>
        <w:t>uidance</w:t>
      </w:r>
      <w:r w:rsidR="001C7473">
        <w:rPr>
          <w:rFonts w:eastAsia="Calibri"/>
        </w:rPr>
        <w:t xml:space="preserve">: </w:t>
      </w:r>
      <w:hyperlink r:id="rId27" w:history="1">
        <w:r w:rsidR="001C7473" w:rsidRPr="00ED0FF6">
          <w:rPr>
            <w:rStyle w:val="Hyperlink"/>
            <w:rFonts w:eastAsia="Calibri"/>
          </w:rPr>
          <w:t>https://www.gov.uk/government/publications/dbs-referrals-form-and-guidance</w:t>
        </w:r>
      </w:hyperlink>
      <w:r w:rsidRPr="00884E2C">
        <w:rPr>
          <w:rFonts w:eastAsia="Calibri"/>
        </w:rPr>
        <w:t xml:space="preserve"> </w:t>
      </w:r>
    </w:p>
    <w:p w14:paraId="01B2D182" w14:textId="78D24F88" w:rsidR="00F86D1C" w:rsidRPr="00C0603B" w:rsidRDefault="00F86D1C" w:rsidP="00D97F62">
      <w:pPr>
        <w:pStyle w:val="WPParagraph"/>
        <w:rPr>
          <w:rFonts w:eastAsia="Calibri"/>
          <w:color w:val="0070C0"/>
        </w:rPr>
      </w:pPr>
      <w:r w:rsidRPr="00C0603B">
        <w:rPr>
          <w:rFonts w:eastAsia="Calibri"/>
        </w:rPr>
        <w:t>CPNI</w:t>
      </w:r>
      <w:r w:rsidR="001C7473">
        <w:rPr>
          <w:rFonts w:eastAsia="Calibri"/>
        </w:rPr>
        <w:t xml:space="preserve">: </w:t>
      </w:r>
      <w:r w:rsidRPr="00C0603B">
        <w:rPr>
          <w:rFonts w:eastAsia="Calibri"/>
        </w:rPr>
        <w:t xml:space="preserve">How to obtain an Overseas Criminal </w:t>
      </w:r>
      <w:r w:rsidR="001C7473">
        <w:rPr>
          <w:rFonts w:eastAsia="Calibri"/>
        </w:rPr>
        <w:t>R</w:t>
      </w:r>
      <w:r w:rsidRPr="00C0603B">
        <w:rPr>
          <w:rFonts w:eastAsia="Calibri"/>
        </w:rPr>
        <w:t>ecord Check (Guidance for Employers and Employees)</w:t>
      </w:r>
      <w:r w:rsidR="001C7473">
        <w:rPr>
          <w:rFonts w:eastAsia="Calibri"/>
        </w:rPr>
        <w:t xml:space="preserve">: </w:t>
      </w:r>
      <w:hyperlink r:id="rId28" w:history="1">
        <w:r w:rsidR="001C7473" w:rsidRPr="00ED0FF6">
          <w:rPr>
            <w:rStyle w:val="Hyperlink"/>
          </w:rPr>
          <w:t>https://www.cpni.gov.uk/system/files/documents/71/a2/How_To_Obtain_An_Overseas_Criminal_Record_Check_May_2018.pdf</w:t>
        </w:r>
      </w:hyperlink>
      <w:r w:rsidR="007F09AE">
        <w:t xml:space="preserve"> </w:t>
      </w:r>
    </w:p>
    <w:p w14:paraId="441C1209" w14:textId="73A46C23" w:rsidR="00F86D1C" w:rsidRPr="00884E2C" w:rsidRDefault="00F86D1C" w:rsidP="00D97F62">
      <w:pPr>
        <w:pStyle w:val="WPParagraph"/>
        <w:rPr>
          <w:rFonts w:eastAsia="Calibri"/>
        </w:rPr>
      </w:pPr>
      <w:r w:rsidRPr="00884E2C">
        <w:rPr>
          <w:rFonts w:eastAsia="Calibri"/>
        </w:rPr>
        <w:t>DBS Retention Policy</w:t>
      </w:r>
      <w:r w:rsidR="001C7473">
        <w:rPr>
          <w:rFonts w:eastAsia="Calibri"/>
        </w:rPr>
        <w:t>,</w:t>
      </w:r>
      <w:r w:rsidRPr="00884E2C">
        <w:rPr>
          <w:rFonts w:eastAsia="Calibri"/>
        </w:rPr>
        <w:t xml:space="preserve"> May 2018</w:t>
      </w:r>
      <w:r w:rsidR="001C7473">
        <w:rPr>
          <w:rFonts w:eastAsia="Calibri"/>
        </w:rPr>
        <w:t>:</w:t>
      </w:r>
      <w:r w:rsidRPr="00884E2C">
        <w:rPr>
          <w:rFonts w:eastAsia="Calibri"/>
        </w:rPr>
        <w:t xml:space="preserve"> </w:t>
      </w:r>
      <w:hyperlink r:id="rId29" w:history="1">
        <w:r w:rsidRPr="00884E2C">
          <w:rPr>
            <w:rFonts w:eastAsia="Calibri"/>
            <w:color w:val="0000FF"/>
            <w:u w:val="single"/>
          </w:rPr>
          <w:t>https://www.gov.uk/government/publications/dbs-data-retention-policy</w:t>
        </w:r>
      </w:hyperlink>
      <w:r w:rsidRPr="00884E2C">
        <w:rPr>
          <w:rFonts w:eastAsia="Calibri"/>
          <w:color w:val="FF0000"/>
        </w:rPr>
        <w:t xml:space="preserve"> </w:t>
      </w:r>
    </w:p>
    <w:p w14:paraId="03ECCAC0" w14:textId="0485907E" w:rsidR="00F86D1C" w:rsidRPr="00884E2C" w:rsidRDefault="00F86D1C" w:rsidP="00D97F62">
      <w:pPr>
        <w:pStyle w:val="WPParagraph"/>
        <w:rPr>
          <w:rFonts w:eastAsia="Calibri"/>
        </w:rPr>
      </w:pPr>
      <w:r w:rsidRPr="00884E2C">
        <w:rPr>
          <w:rFonts w:eastAsia="Calibri"/>
        </w:rPr>
        <w:t xml:space="preserve">DBS ID </w:t>
      </w:r>
      <w:r w:rsidR="001C7473">
        <w:rPr>
          <w:rFonts w:eastAsia="Calibri"/>
        </w:rPr>
        <w:t>C</w:t>
      </w:r>
      <w:r w:rsidRPr="00884E2C">
        <w:rPr>
          <w:rFonts w:eastAsia="Calibri"/>
        </w:rPr>
        <w:t xml:space="preserve">hecking </w:t>
      </w:r>
      <w:r w:rsidR="001C7473">
        <w:rPr>
          <w:rFonts w:eastAsia="Calibri"/>
        </w:rPr>
        <w:t>G</w:t>
      </w:r>
      <w:r w:rsidRPr="00884E2C">
        <w:rPr>
          <w:rFonts w:eastAsia="Calibri"/>
        </w:rPr>
        <w:t>uidelines</w:t>
      </w:r>
      <w:r w:rsidR="001C7473">
        <w:rPr>
          <w:rFonts w:eastAsia="Calibri"/>
        </w:rPr>
        <w:t>:</w:t>
      </w:r>
      <w:r w:rsidRPr="00884E2C">
        <w:rPr>
          <w:rFonts w:eastAsia="Calibri"/>
        </w:rPr>
        <w:t xml:space="preserve"> </w:t>
      </w:r>
      <w:hyperlink r:id="rId30" w:history="1">
        <w:r w:rsidRPr="00884E2C">
          <w:rPr>
            <w:rFonts w:eastAsia="Calibri"/>
            <w:color w:val="0000FF"/>
            <w:u w:val="single"/>
          </w:rPr>
          <w:t>https://www.gov.uk/government/publications/dbs-identity-checking-guidelines</w:t>
        </w:r>
      </w:hyperlink>
      <w:r w:rsidRPr="00884E2C">
        <w:rPr>
          <w:rFonts w:eastAsia="Calibri"/>
          <w:color w:val="FF0000"/>
        </w:rPr>
        <w:t xml:space="preserve"> </w:t>
      </w:r>
    </w:p>
    <w:p w14:paraId="2E2AEC50" w14:textId="54D11736" w:rsidR="00F86D1C" w:rsidRPr="00884E2C" w:rsidRDefault="00F86D1C" w:rsidP="00D97F62">
      <w:pPr>
        <w:pStyle w:val="WPParagraph"/>
        <w:rPr>
          <w:rFonts w:eastAsia="Calibri"/>
        </w:rPr>
      </w:pPr>
      <w:r w:rsidRPr="00884E2C">
        <w:rPr>
          <w:rFonts w:eastAsia="Calibri"/>
        </w:rPr>
        <w:t xml:space="preserve">Data Portability Request </w:t>
      </w:r>
      <w:r w:rsidR="0006589C">
        <w:rPr>
          <w:rFonts w:eastAsia="Calibri"/>
        </w:rPr>
        <w:t>template</w:t>
      </w:r>
      <w:r w:rsidRPr="00884E2C">
        <w:rPr>
          <w:rFonts w:ascii="Calibri" w:eastAsia="Calibri" w:hAnsi="Calibri" w:cs="Times New Roman"/>
        </w:rPr>
        <w:t xml:space="preserve"> </w:t>
      </w:r>
      <w:hyperlink r:id="rId31" w:history="1">
        <w:r w:rsidRPr="00884E2C">
          <w:rPr>
            <w:rFonts w:eastAsia="Calibri"/>
            <w:color w:val="0000FF"/>
            <w:u w:val="single"/>
          </w:rPr>
          <w:t>https://www.gov.uk/government/publications/data-portability</w:t>
        </w:r>
      </w:hyperlink>
    </w:p>
    <w:p w14:paraId="3FB87442" w14:textId="0029E2B7" w:rsidR="00F86D1C" w:rsidRPr="00535FB1" w:rsidRDefault="00F86D1C" w:rsidP="00D97F62">
      <w:pPr>
        <w:pStyle w:val="WPParagraph"/>
        <w:rPr>
          <w:rFonts w:eastAsia="Calibri"/>
        </w:rPr>
      </w:pPr>
      <w:r w:rsidRPr="00884E2C">
        <w:rPr>
          <w:rFonts w:eastAsia="Calibri"/>
        </w:rPr>
        <w:t xml:space="preserve">Deletion of Data </w:t>
      </w:r>
      <w:r w:rsidR="001C7473">
        <w:rPr>
          <w:rFonts w:eastAsia="Calibri"/>
        </w:rPr>
        <w:t>R</w:t>
      </w:r>
      <w:r w:rsidRPr="00884E2C">
        <w:rPr>
          <w:rFonts w:eastAsia="Calibri"/>
        </w:rPr>
        <w:t xml:space="preserve">equest </w:t>
      </w:r>
      <w:r w:rsidR="001C7473">
        <w:rPr>
          <w:rFonts w:eastAsia="Calibri"/>
        </w:rPr>
        <w:t>T</w:t>
      </w:r>
      <w:r w:rsidRPr="00884E2C">
        <w:rPr>
          <w:rFonts w:eastAsia="Calibri"/>
        </w:rPr>
        <w:t>emplate</w:t>
      </w:r>
      <w:r w:rsidR="001C7473">
        <w:rPr>
          <w:rFonts w:eastAsia="Calibri"/>
        </w:rPr>
        <w:t>:</w:t>
      </w:r>
      <w:r w:rsidR="00D97F62">
        <w:rPr>
          <w:rFonts w:eastAsia="Calibri"/>
        </w:rPr>
        <w:t xml:space="preserve"> </w:t>
      </w:r>
      <w:hyperlink r:id="rId32" w:history="1">
        <w:r w:rsidRPr="00884E2C">
          <w:rPr>
            <w:rFonts w:eastAsia="Calibri" w:cs="Times New Roman"/>
            <w:color w:val="0000FF"/>
            <w:u w:val="single"/>
          </w:rPr>
          <w:t>https://www.gov.uk/government/publications/deletion-of-data</w:t>
        </w:r>
      </w:hyperlink>
    </w:p>
    <w:p w14:paraId="2250CE7C" w14:textId="2BE27EF9" w:rsidR="00F86D1C" w:rsidRPr="005D1A42" w:rsidRDefault="00F86D1C" w:rsidP="00D97F62">
      <w:pPr>
        <w:pStyle w:val="WPParagraph"/>
        <w:rPr>
          <w:rStyle w:val="Hyperlink"/>
          <w:rFonts w:eastAsia="Calibri"/>
          <w:color w:val="auto"/>
          <w:u w:val="none"/>
        </w:rPr>
      </w:pPr>
      <w:r w:rsidRPr="00D07E09">
        <w:rPr>
          <w:rFonts w:eastAsia="Calibri"/>
        </w:rPr>
        <w:t xml:space="preserve">Unlock </w:t>
      </w:r>
      <w:r w:rsidR="001C7473">
        <w:rPr>
          <w:rFonts w:eastAsia="Calibri"/>
        </w:rPr>
        <w:t>f</w:t>
      </w:r>
      <w:r w:rsidR="001C7473" w:rsidRPr="00D07E09">
        <w:rPr>
          <w:rFonts w:eastAsia="Calibri"/>
        </w:rPr>
        <w:t xml:space="preserve">or People </w:t>
      </w:r>
      <w:r w:rsidR="001C7473">
        <w:rPr>
          <w:rFonts w:eastAsia="Calibri"/>
        </w:rPr>
        <w:t>w</w:t>
      </w:r>
      <w:r w:rsidR="001C7473" w:rsidRPr="00D07E09">
        <w:rPr>
          <w:rFonts w:eastAsia="Calibri"/>
        </w:rPr>
        <w:t>ith Convictions</w:t>
      </w:r>
      <w:r w:rsidR="001C7473">
        <w:rPr>
          <w:rFonts w:eastAsia="Calibri"/>
        </w:rPr>
        <w:t xml:space="preserve">: </w:t>
      </w:r>
      <w:r w:rsidRPr="00D07E09">
        <w:rPr>
          <w:rFonts w:eastAsia="Calibri"/>
        </w:rPr>
        <w:t xml:space="preserve">Guidance </w:t>
      </w:r>
      <w:r w:rsidR="001C7473">
        <w:rPr>
          <w:rFonts w:eastAsia="Calibri"/>
        </w:rPr>
        <w:t>f</w:t>
      </w:r>
      <w:r w:rsidR="001C7473" w:rsidRPr="00D07E09">
        <w:rPr>
          <w:rFonts w:eastAsia="Calibri"/>
        </w:rPr>
        <w:t xml:space="preserve">or Employers </w:t>
      </w:r>
      <w:r w:rsidR="001C7473">
        <w:rPr>
          <w:rFonts w:eastAsia="Calibri"/>
        </w:rPr>
        <w:t>o</w:t>
      </w:r>
      <w:r w:rsidR="001C7473" w:rsidRPr="00D07E09">
        <w:rPr>
          <w:rFonts w:eastAsia="Calibri"/>
        </w:rPr>
        <w:t xml:space="preserve">n </w:t>
      </w:r>
      <w:r w:rsidR="0006589C">
        <w:rPr>
          <w:rFonts w:eastAsia="Calibri"/>
        </w:rPr>
        <w:t>t</w:t>
      </w:r>
      <w:r w:rsidR="001C7473" w:rsidRPr="00D07E09">
        <w:rPr>
          <w:rFonts w:eastAsia="Calibri"/>
        </w:rPr>
        <w:t xml:space="preserve">he </w:t>
      </w:r>
      <w:r w:rsidRPr="00D07E09">
        <w:rPr>
          <w:rFonts w:eastAsia="Calibri"/>
        </w:rPr>
        <w:t>GDPR</w:t>
      </w:r>
      <w:r w:rsidR="001C7473" w:rsidRPr="00D07E09">
        <w:rPr>
          <w:rFonts w:eastAsia="Calibri"/>
        </w:rPr>
        <w:t xml:space="preserve">, Data Protection </w:t>
      </w:r>
      <w:r w:rsidR="001C7473">
        <w:rPr>
          <w:rFonts w:eastAsia="Calibri"/>
        </w:rPr>
        <w:t>a</w:t>
      </w:r>
      <w:r w:rsidR="001C7473" w:rsidRPr="00D07E09">
        <w:rPr>
          <w:rFonts w:eastAsia="Calibri"/>
        </w:rPr>
        <w:t xml:space="preserve">nd </w:t>
      </w:r>
      <w:r w:rsidR="001C7473">
        <w:rPr>
          <w:rFonts w:eastAsia="Calibri"/>
        </w:rPr>
        <w:t>t</w:t>
      </w:r>
      <w:r w:rsidR="001C7473" w:rsidRPr="00D07E09">
        <w:rPr>
          <w:rFonts w:eastAsia="Calibri"/>
        </w:rPr>
        <w:t xml:space="preserve">he Processing </w:t>
      </w:r>
      <w:r w:rsidR="001C7473">
        <w:rPr>
          <w:rFonts w:eastAsia="Calibri"/>
        </w:rPr>
        <w:t>o</w:t>
      </w:r>
      <w:r w:rsidR="001C7473" w:rsidRPr="00D07E09">
        <w:rPr>
          <w:rFonts w:eastAsia="Calibri"/>
        </w:rPr>
        <w:t xml:space="preserve">f Criminal Records Data </w:t>
      </w:r>
      <w:r w:rsidR="001C7473">
        <w:rPr>
          <w:rFonts w:eastAsia="Calibri"/>
        </w:rPr>
        <w:t>i</w:t>
      </w:r>
      <w:r w:rsidR="001C7473" w:rsidRPr="00D07E09">
        <w:rPr>
          <w:rFonts w:eastAsia="Calibri"/>
        </w:rPr>
        <w:t>n Recruitment</w:t>
      </w:r>
      <w:r w:rsidR="001C7473">
        <w:rPr>
          <w:rFonts w:eastAsia="Calibri"/>
        </w:rPr>
        <w:t>:</w:t>
      </w:r>
      <w:r w:rsidR="001C7473" w:rsidRPr="00D07E09">
        <w:rPr>
          <w:rFonts w:eastAsia="Calibri"/>
        </w:rPr>
        <w:t xml:space="preserve"> </w:t>
      </w:r>
      <w:hyperlink r:id="rId33" w:history="1">
        <w:r w:rsidRPr="0024706D">
          <w:rPr>
            <w:rStyle w:val="Hyperlink"/>
            <w:rFonts w:eastAsia="Calibri"/>
          </w:rPr>
          <w:t>http://recruit.unlock.org.uk/wp-content/uploads/Employer-GDPR-guidance.pdf</w:t>
        </w:r>
      </w:hyperlink>
    </w:p>
    <w:p w14:paraId="073D0930" w14:textId="721E27E7" w:rsidR="00043219" w:rsidRPr="00D97F62" w:rsidRDefault="005D1A42" w:rsidP="00D97F62">
      <w:pPr>
        <w:pStyle w:val="WPParagraph"/>
        <w:rPr>
          <w:rFonts w:eastAsia="Calibri"/>
          <w:color w:val="0070C0"/>
        </w:rPr>
      </w:pPr>
      <w:r w:rsidRPr="001C7473">
        <w:rPr>
          <w:rStyle w:val="Hyperlink"/>
          <w:rFonts w:eastAsia="Calibri"/>
          <w:color w:val="auto"/>
          <w:u w:val="none"/>
        </w:rPr>
        <w:t xml:space="preserve">Gov.UK Sample </w:t>
      </w:r>
      <w:r w:rsidR="001C7473">
        <w:rPr>
          <w:rStyle w:val="Hyperlink"/>
          <w:rFonts w:eastAsia="Calibri"/>
          <w:color w:val="auto"/>
          <w:u w:val="none"/>
        </w:rPr>
        <w:t>P</w:t>
      </w:r>
      <w:r w:rsidRPr="001C7473">
        <w:rPr>
          <w:rStyle w:val="Hyperlink"/>
          <w:rFonts w:eastAsia="Calibri"/>
          <w:color w:val="auto"/>
          <w:u w:val="none"/>
        </w:rPr>
        <w:t xml:space="preserve">olicy on the </w:t>
      </w:r>
      <w:r w:rsidR="001C7473">
        <w:rPr>
          <w:rStyle w:val="Hyperlink"/>
          <w:rFonts w:eastAsia="Calibri"/>
          <w:color w:val="auto"/>
          <w:u w:val="none"/>
        </w:rPr>
        <w:t>R</w:t>
      </w:r>
      <w:r w:rsidRPr="001C7473">
        <w:rPr>
          <w:rStyle w:val="Hyperlink"/>
          <w:rFonts w:eastAsia="Calibri"/>
          <w:color w:val="auto"/>
          <w:u w:val="none"/>
        </w:rPr>
        <w:t xml:space="preserve">ecruitment of </w:t>
      </w:r>
      <w:r w:rsidR="001C7473">
        <w:rPr>
          <w:rStyle w:val="Hyperlink"/>
          <w:rFonts w:eastAsia="Calibri"/>
          <w:color w:val="auto"/>
          <w:u w:val="none"/>
        </w:rPr>
        <w:t>E</w:t>
      </w:r>
      <w:r w:rsidRPr="001C7473">
        <w:rPr>
          <w:rStyle w:val="Hyperlink"/>
          <w:rFonts w:eastAsia="Calibri"/>
          <w:color w:val="auto"/>
          <w:u w:val="none"/>
        </w:rPr>
        <w:t>x-offenders</w:t>
      </w:r>
      <w:r w:rsidR="001C7473">
        <w:rPr>
          <w:rStyle w:val="Hyperlink"/>
          <w:rFonts w:eastAsia="Calibri"/>
          <w:color w:val="auto"/>
        </w:rPr>
        <w:t xml:space="preserve">: </w:t>
      </w:r>
      <w:hyperlink r:id="rId34" w:history="1">
        <w:r w:rsidR="001C7473" w:rsidRPr="00ED0FF6">
          <w:rPr>
            <w:rStyle w:val="Hyperlink"/>
          </w:rPr>
          <w:t>https://www.gov.uk/government/publications/dbs-sample-policy-on-the-recruitment-of-ex-offenders</w:t>
        </w:r>
      </w:hyperlink>
      <w:r w:rsidR="00D97F62">
        <w:t xml:space="preserve"> </w:t>
      </w:r>
    </w:p>
    <w:p w14:paraId="2C72FB61" w14:textId="4BA98D7B" w:rsidR="002A1DEB" w:rsidRDefault="004E1E2D" w:rsidP="00D97F62">
      <w:pPr>
        <w:pStyle w:val="WPHeading"/>
      </w:pPr>
      <w:r>
        <w:br/>
      </w:r>
      <w:r w:rsidR="002A1DEB">
        <w:t>Training Statement</w:t>
      </w:r>
    </w:p>
    <w:p w14:paraId="78D1C495" w14:textId="2B2DD553" w:rsidR="0034591F" w:rsidRPr="0073578C" w:rsidRDefault="0034591F" w:rsidP="001C7473">
      <w:pPr>
        <w:pStyle w:val="WPParagraph"/>
        <w:rPr>
          <w:rFonts w:eastAsia="Calibri"/>
        </w:rPr>
      </w:pPr>
      <w:r w:rsidRPr="0073578C">
        <w:rPr>
          <w:rFonts w:eastAsia="Calibri"/>
        </w:rPr>
        <w:t>All counter signatories will be familiar with the Code of Practice and the update</w:t>
      </w:r>
      <w:r w:rsidR="0006589C">
        <w:rPr>
          <w:rFonts w:eastAsia="Calibri"/>
        </w:rPr>
        <w:t>d</w:t>
      </w:r>
      <w:r w:rsidRPr="0073578C">
        <w:rPr>
          <w:rFonts w:eastAsia="Calibri"/>
        </w:rPr>
        <w:t xml:space="preserve"> service guidance. The post-holder will also be required to ensure that all guidance in use by the organisation is current.</w:t>
      </w:r>
    </w:p>
    <w:p w14:paraId="688045C7" w14:textId="5DEEAAB5" w:rsidR="001C7473" w:rsidRPr="004B00E5" w:rsidRDefault="001C7473" w:rsidP="004B00E5">
      <w:pPr>
        <w:pStyle w:val="WPParagraph"/>
        <w:rPr>
          <w:rFonts w:eastAsia="HGGothicM"/>
        </w:rPr>
      </w:pPr>
      <w:bookmarkStart w:id="20" w:name="_Hlk529282654"/>
      <w:bookmarkStart w:id="21" w:name="_Hlk53512270"/>
      <w:r w:rsidRPr="004B00E5">
        <w:rPr>
          <w:rFonts w:eastAsia="HGGothicM"/>
        </w:rPr>
        <w:t xml:space="preserve">All staff, during induction, are made aware of the organisation’s policies and procedures, all of which are used for training updates. All policies and procedures are reviewed and amended where necessary, and staff are made aware of any changes. Observations are undertaken to check skills and competencies. Various </w:t>
      </w:r>
      <w:r w:rsidRPr="004B00E5">
        <w:rPr>
          <w:rFonts w:eastAsia="HGGothicM"/>
        </w:rPr>
        <w:lastRenderedPageBreak/>
        <w:t xml:space="preserve">methods of training are used, including one to one, online, workbook, group meetings, and individual supervisions. </w:t>
      </w:r>
      <w:bookmarkStart w:id="22" w:name="_Hlk527038464"/>
      <w:bookmarkEnd w:id="20"/>
      <w:bookmarkEnd w:id="21"/>
    </w:p>
    <w:p w14:paraId="0EE617CC" w14:textId="7913D77E" w:rsidR="001C7473" w:rsidRDefault="001C7473" w:rsidP="001C7473">
      <w:pPr>
        <w:pStyle w:val="Paragraph"/>
        <w:jc w:val="left"/>
        <w:rPr>
          <w:rFonts w:eastAsia="HGGothicM"/>
          <w:b/>
        </w:rPr>
      </w:pPr>
    </w:p>
    <w:p w14:paraId="47E821FA" w14:textId="2580D53D" w:rsidR="009F36FA" w:rsidRDefault="00E46CFF" w:rsidP="009F36FA">
      <w:pPr>
        <w:pStyle w:val="WPParagraph"/>
      </w:pPr>
      <w:r>
        <w:t>Date Reviewed: May 2023</w:t>
      </w:r>
    </w:p>
    <w:p w14:paraId="2F6C3DA0" w14:textId="50D15BFF" w:rsidR="009F36FA" w:rsidRDefault="009F36FA" w:rsidP="009F36FA">
      <w:pPr>
        <w:pStyle w:val="WPParagraph"/>
      </w:pPr>
      <w:r>
        <w:t xml:space="preserve">Person responsible for updating this policy: </w:t>
      </w:r>
      <w:r w:rsidR="00ED785F">
        <w:rPr>
          <w:b/>
          <w:bCs/>
        </w:rPr>
        <w:t>IFEYINWA ODOEMENAM</w:t>
      </w:r>
    </w:p>
    <w:p w14:paraId="6684F9BD" w14:textId="2AFEF009" w:rsidR="009F36FA" w:rsidRDefault="00E46CFF" w:rsidP="009F36FA">
      <w:pPr>
        <w:pStyle w:val="WPParagraph"/>
      </w:pPr>
      <w:r>
        <w:t>Next Review Date: May 2024</w:t>
      </w:r>
    </w:p>
    <w:p w14:paraId="7AEA4841" w14:textId="77777777" w:rsidR="009F36FA" w:rsidRDefault="009F36FA" w:rsidP="001C7473">
      <w:pPr>
        <w:pStyle w:val="Paragraph"/>
        <w:jc w:val="left"/>
        <w:rPr>
          <w:rFonts w:eastAsia="HGGothicM"/>
          <w:b/>
        </w:rPr>
      </w:pPr>
    </w:p>
    <w:p w14:paraId="21F1BA4C" w14:textId="2CD0C4CE" w:rsidR="00C65EEA" w:rsidRPr="001C7473" w:rsidRDefault="00C65EEA" w:rsidP="001C7473">
      <w:pPr>
        <w:pStyle w:val="Paragraph"/>
        <w:jc w:val="left"/>
        <w:rPr>
          <w:rFonts w:eastAsia="HGGothicM"/>
          <w:b/>
        </w:rPr>
      </w:pPr>
    </w:p>
    <w:bookmarkEnd w:id="22"/>
    <w:p w14:paraId="5CC23AE6" w14:textId="19B4C380" w:rsidR="00B7150E" w:rsidRPr="00213EAC" w:rsidRDefault="00B7150E">
      <w:pPr>
        <w:spacing w:after="160" w:line="259" w:lineRule="auto"/>
        <w:ind w:left="360"/>
        <w:jc w:val="both"/>
        <w:rPr>
          <w:rFonts w:ascii="Arial" w:eastAsia="Calibri" w:hAnsi="Arial" w:cs="Arial"/>
          <w:sz w:val="24"/>
          <w:szCs w:val="24"/>
          <w:lang w:val="en-GB"/>
        </w:rPr>
      </w:pPr>
    </w:p>
    <w:sectPr w:rsidR="00B7150E" w:rsidRPr="00213EAC">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57AA8" w14:textId="77777777" w:rsidR="009706B4" w:rsidRDefault="009706B4" w:rsidP="00815DED">
      <w:pPr>
        <w:spacing w:after="0" w:line="240" w:lineRule="auto"/>
      </w:pPr>
      <w:r>
        <w:separator/>
      </w:r>
    </w:p>
  </w:endnote>
  <w:endnote w:type="continuationSeparator" w:id="0">
    <w:p w14:paraId="7A212607" w14:textId="77777777" w:rsidR="009706B4" w:rsidRDefault="009706B4"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7C10" w14:textId="77777777" w:rsidR="00C95B3E" w:rsidRDefault="00C95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28FC" w14:textId="77777777" w:rsidR="00C95B3E" w:rsidRDefault="00C95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A539" w14:textId="77777777" w:rsidR="00C95B3E" w:rsidRDefault="00C95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D2AD" w14:textId="77777777" w:rsidR="009706B4" w:rsidRDefault="009706B4" w:rsidP="00815DED">
      <w:pPr>
        <w:spacing w:after="0" w:line="240" w:lineRule="auto"/>
      </w:pPr>
      <w:r>
        <w:separator/>
      </w:r>
    </w:p>
  </w:footnote>
  <w:footnote w:type="continuationSeparator" w:id="0">
    <w:p w14:paraId="6B16E5AC" w14:textId="77777777" w:rsidR="009706B4" w:rsidRDefault="009706B4"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06BD" w14:textId="77777777" w:rsidR="00C95B3E" w:rsidRDefault="00C95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4A8B" w14:textId="77777777" w:rsidR="00C95B3E" w:rsidRDefault="00C95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F45F" w14:textId="77777777" w:rsidR="00C95B3E" w:rsidRDefault="00C95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A9B"/>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5D87"/>
    <w:multiLevelType w:val="hybridMultilevel"/>
    <w:tmpl w:val="98962A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1A2133"/>
    <w:multiLevelType w:val="hybridMultilevel"/>
    <w:tmpl w:val="F39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04133"/>
    <w:multiLevelType w:val="hybridMultilevel"/>
    <w:tmpl w:val="1CF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1"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C01348"/>
    <w:multiLevelType w:val="hybridMultilevel"/>
    <w:tmpl w:val="549C6EC8"/>
    <w:lvl w:ilvl="0" w:tplc="6E8C6F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AAF5467"/>
    <w:multiLevelType w:val="hybridMultilevel"/>
    <w:tmpl w:val="60CC11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CA3A6E"/>
    <w:multiLevelType w:val="hybridMultilevel"/>
    <w:tmpl w:val="A1F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A10FF5"/>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1171C16"/>
    <w:multiLevelType w:val="hybridMultilevel"/>
    <w:tmpl w:val="E4E4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16C7232"/>
    <w:multiLevelType w:val="hybridMultilevel"/>
    <w:tmpl w:val="826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397BA8"/>
    <w:multiLevelType w:val="hybridMultilevel"/>
    <w:tmpl w:val="459A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9D50038"/>
    <w:multiLevelType w:val="hybridMultilevel"/>
    <w:tmpl w:val="21CE6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A814AE3"/>
    <w:multiLevelType w:val="hybridMultilevel"/>
    <w:tmpl w:val="5A4EE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0" w15:restartNumberingAfterBreak="0">
    <w:nsid w:val="2AA949B8"/>
    <w:multiLevelType w:val="hybridMultilevel"/>
    <w:tmpl w:val="BEB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03C2EB8"/>
    <w:multiLevelType w:val="hybridMultilevel"/>
    <w:tmpl w:val="0888C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306D6FD5"/>
    <w:multiLevelType w:val="hybridMultilevel"/>
    <w:tmpl w:val="EC2AA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3852214"/>
    <w:multiLevelType w:val="hybridMultilevel"/>
    <w:tmpl w:val="218C7484"/>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98B39CD"/>
    <w:multiLevelType w:val="hybridMultilevel"/>
    <w:tmpl w:val="41B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AEF1652"/>
    <w:multiLevelType w:val="hybridMultilevel"/>
    <w:tmpl w:val="0F9C4818"/>
    <w:lvl w:ilvl="0" w:tplc="42C273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B544403"/>
    <w:multiLevelType w:val="hybridMultilevel"/>
    <w:tmpl w:val="E766CF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3C3756B0"/>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D081564"/>
    <w:multiLevelType w:val="hybridMultilevel"/>
    <w:tmpl w:val="C19AC24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72" w15:restartNumberingAfterBreak="0">
    <w:nsid w:val="3F61221C"/>
    <w:multiLevelType w:val="hybridMultilevel"/>
    <w:tmpl w:val="031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1AD4E53"/>
    <w:multiLevelType w:val="hybridMultilevel"/>
    <w:tmpl w:val="3C064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49F4027"/>
    <w:multiLevelType w:val="hybridMultilevel"/>
    <w:tmpl w:val="A22C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67E09DC"/>
    <w:multiLevelType w:val="hybridMultilevel"/>
    <w:tmpl w:val="F04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4AED2A02"/>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B4B5069"/>
    <w:multiLevelType w:val="hybridMultilevel"/>
    <w:tmpl w:val="1BDC4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B843D0B"/>
    <w:multiLevelType w:val="hybridMultilevel"/>
    <w:tmpl w:val="64407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6"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4FD32207"/>
    <w:multiLevelType w:val="hybridMultilevel"/>
    <w:tmpl w:val="34F856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2570C0A"/>
    <w:multiLevelType w:val="hybridMultilevel"/>
    <w:tmpl w:val="90080D76"/>
    <w:lvl w:ilvl="0" w:tplc="D97E3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2"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5E87267"/>
    <w:multiLevelType w:val="hybridMultilevel"/>
    <w:tmpl w:val="2E2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70E0592"/>
    <w:multiLevelType w:val="hybridMultilevel"/>
    <w:tmpl w:val="B42C8AF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95"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9247E29"/>
    <w:multiLevelType w:val="hybridMultilevel"/>
    <w:tmpl w:val="402C6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8" w15:restartNumberingAfterBreak="0">
    <w:nsid w:val="59D631D8"/>
    <w:multiLevelType w:val="hybridMultilevel"/>
    <w:tmpl w:val="BAF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A610DC5"/>
    <w:multiLevelType w:val="hybridMultilevel"/>
    <w:tmpl w:val="C1EABD90"/>
    <w:lvl w:ilvl="0" w:tplc="C1428122">
      <w:numFmt w:val="bullet"/>
      <w:pStyle w:val="WP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F6F0076"/>
    <w:multiLevelType w:val="hybridMultilevel"/>
    <w:tmpl w:val="BC024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FF61A8C"/>
    <w:multiLevelType w:val="hybridMultilevel"/>
    <w:tmpl w:val="F990B1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06" w15:restartNumberingAfterBreak="0">
    <w:nsid w:val="5FFC1926"/>
    <w:multiLevelType w:val="hybridMultilevel"/>
    <w:tmpl w:val="E9342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0310817"/>
    <w:multiLevelType w:val="multilevel"/>
    <w:tmpl w:val="9C4C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663E35B1"/>
    <w:multiLevelType w:val="hybridMultilevel"/>
    <w:tmpl w:val="E8C805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AC85744"/>
    <w:multiLevelType w:val="hybridMultilevel"/>
    <w:tmpl w:val="E6E233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BB6656A"/>
    <w:multiLevelType w:val="hybridMultilevel"/>
    <w:tmpl w:val="9CEA616A"/>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116"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6C874261"/>
    <w:multiLevelType w:val="hybridMultilevel"/>
    <w:tmpl w:val="2E40D6E6"/>
    <w:lvl w:ilvl="0" w:tplc="041B0001">
      <w:start w:val="1"/>
      <w:numFmt w:val="bullet"/>
      <w:lvlText w:val=""/>
      <w:lvlJc w:val="left"/>
      <w:pPr>
        <w:tabs>
          <w:tab w:val="num" w:pos="720"/>
        </w:tabs>
        <w:ind w:left="720" w:hanging="360"/>
      </w:pPr>
      <w:rPr>
        <w:rFonts w:ascii="Symbol" w:hAnsi="Symbol" w:hint="default"/>
      </w:rPr>
    </w:lvl>
    <w:lvl w:ilvl="1" w:tplc="3D22ABDC" w:tentative="1">
      <w:start w:val="1"/>
      <w:numFmt w:val="decimal"/>
      <w:lvlText w:val="%2."/>
      <w:lvlJc w:val="left"/>
      <w:pPr>
        <w:tabs>
          <w:tab w:val="num" w:pos="1440"/>
        </w:tabs>
        <w:ind w:left="1440" w:hanging="360"/>
      </w:pPr>
    </w:lvl>
    <w:lvl w:ilvl="2" w:tplc="C57006E2" w:tentative="1">
      <w:start w:val="1"/>
      <w:numFmt w:val="decimal"/>
      <w:lvlText w:val="%3."/>
      <w:lvlJc w:val="left"/>
      <w:pPr>
        <w:tabs>
          <w:tab w:val="num" w:pos="2160"/>
        </w:tabs>
        <w:ind w:left="2160" w:hanging="360"/>
      </w:pPr>
    </w:lvl>
    <w:lvl w:ilvl="3" w:tplc="889EB19E" w:tentative="1">
      <w:start w:val="1"/>
      <w:numFmt w:val="decimal"/>
      <w:lvlText w:val="%4."/>
      <w:lvlJc w:val="left"/>
      <w:pPr>
        <w:tabs>
          <w:tab w:val="num" w:pos="2880"/>
        </w:tabs>
        <w:ind w:left="2880" w:hanging="360"/>
      </w:pPr>
    </w:lvl>
    <w:lvl w:ilvl="4" w:tplc="9D6CABEA" w:tentative="1">
      <w:start w:val="1"/>
      <w:numFmt w:val="decimal"/>
      <w:lvlText w:val="%5."/>
      <w:lvlJc w:val="left"/>
      <w:pPr>
        <w:tabs>
          <w:tab w:val="num" w:pos="3600"/>
        </w:tabs>
        <w:ind w:left="3600" w:hanging="360"/>
      </w:pPr>
    </w:lvl>
    <w:lvl w:ilvl="5" w:tplc="E4C036F2" w:tentative="1">
      <w:start w:val="1"/>
      <w:numFmt w:val="decimal"/>
      <w:lvlText w:val="%6."/>
      <w:lvlJc w:val="left"/>
      <w:pPr>
        <w:tabs>
          <w:tab w:val="num" w:pos="4320"/>
        </w:tabs>
        <w:ind w:left="4320" w:hanging="360"/>
      </w:pPr>
    </w:lvl>
    <w:lvl w:ilvl="6" w:tplc="5DCCB28A" w:tentative="1">
      <w:start w:val="1"/>
      <w:numFmt w:val="decimal"/>
      <w:lvlText w:val="%7."/>
      <w:lvlJc w:val="left"/>
      <w:pPr>
        <w:tabs>
          <w:tab w:val="num" w:pos="5040"/>
        </w:tabs>
        <w:ind w:left="5040" w:hanging="360"/>
      </w:pPr>
    </w:lvl>
    <w:lvl w:ilvl="7" w:tplc="C986B420" w:tentative="1">
      <w:start w:val="1"/>
      <w:numFmt w:val="decimal"/>
      <w:lvlText w:val="%8."/>
      <w:lvlJc w:val="left"/>
      <w:pPr>
        <w:tabs>
          <w:tab w:val="num" w:pos="5760"/>
        </w:tabs>
        <w:ind w:left="5760" w:hanging="360"/>
      </w:pPr>
    </w:lvl>
    <w:lvl w:ilvl="8" w:tplc="B484B130" w:tentative="1">
      <w:start w:val="1"/>
      <w:numFmt w:val="decimal"/>
      <w:lvlText w:val="%9."/>
      <w:lvlJc w:val="left"/>
      <w:pPr>
        <w:tabs>
          <w:tab w:val="num" w:pos="6480"/>
        </w:tabs>
        <w:ind w:left="6480" w:hanging="360"/>
      </w:pPr>
    </w:lvl>
  </w:abstractNum>
  <w:abstractNum w:abstractNumId="118"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70BF1E3A"/>
    <w:multiLevelType w:val="hybridMultilevel"/>
    <w:tmpl w:val="1E668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15:restartNumberingAfterBreak="0">
    <w:nsid w:val="72823CBA"/>
    <w:multiLevelType w:val="hybridMultilevel"/>
    <w:tmpl w:val="7200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3C05FDA"/>
    <w:multiLevelType w:val="hybridMultilevel"/>
    <w:tmpl w:val="13D8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8121B11"/>
    <w:multiLevelType w:val="multilevel"/>
    <w:tmpl w:val="643E34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9C67D11"/>
    <w:multiLevelType w:val="hybridMultilevel"/>
    <w:tmpl w:val="6E3A4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A7538F3"/>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450508">
    <w:abstractNumId w:val="28"/>
  </w:num>
  <w:num w:numId="2" w16cid:durableId="612714803">
    <w:abstractNumId w:val="127"/>
  </w:num>
  <w:num w:numId="3" w16cid:durableId="1767384811">
    <w:abstractNumId w:val="118"/>
  </w:num>
  <w:num w:numId="4" w16cid:durableId="1388797661">
    <w:abstractNumId w:val="101"/>
  </w:num>
  <w:num w:numId="5" w16cid:durableId="1265960440">
    <w:abstractNumId w:val="108"/>
  </w:num>
  <w:num w:numId="6" w16cid:durableId="398752357">
    <w:abstractNumId w:val="87"/>
  </w:num>
  <w:num w:numId="7" w16cid:durableId="1016690850">
    <w:abstractNumId w:val="116"/>
  </w:num>
  <w:num w:numId="8" w16cid:durableId="2115053347">
    <w:abstractNumId w:val="109"/>
  </w:num>
  <w:num w:numId="9" w16cid:durableId="1082601681">
    <w:abstractNumId w:val="2"/>
  </w:num>
  <w:num w:numId="10" w16cid:durableId="1334837465">
    <w:abstractNumId w:val="20"/>
  </w:num>
  <w:num w:numId="11" w16cid:durableId="95563342">
    <w:abstractNumId w:val="111"/>
  </w:num>
  <w:num w:numId="12" w16cid:durableId="1806004736">
    <w:abstractNumId w:val="133"/>
  </w:num>
  <w:num w:numId="13" w16cid:durableId="1479760960">
    <w:abstractNumId w:val="73"/>
  </w:num>
  <w:num w:numId="14" w16cid:durableId="1721856923">
    <w:abstractNumId w:val="125"/>
  </w:num>
  <w:num w:numId="15" w16cid:durableId="1707945497">
    <w:abstractNumId w:val="103"/>
  </w:num>
  <w:num w:numId="16" w16cid:durableId="1602909222">
    <w:abstractNumId w:val="92"/>
  </w:num>
  <w:num w:numId="17" w16cid:durableId="1749645118">
    <w:abstractNumId w:val="60"/>
  </w:num>
  <w:num w:numId="18" w16cid:durableId="1145665692">
    <w:abstractNumId w:val="102"/>
  </w:num>
  <w:num w:numId="19" w16cid:durableId="904799554">
    <w:abstractNumId w:val="64"/>
  </w:num>
  <w:num w:numId="20" w16cid:durableId="1337078930">
    <w:abstractNumId w:val="14"/>
  </w:num>
  <w:num w:numId="21" w16cid:durableId="42408207">
    <w:abstractNumId w:val="8"/>
  </w:num>
  <w:num w:numId="22" w16cid:durableId="1984462713">
    <w:abstractNumId w:val="134"/>
  </w:num>
  <w:num w:numId="23" w16cid:durableId="944966917">
    <w:abstractNumId w:val="38"/>
  </w:num>
  <w:num w:numId="24" w16cid:durableId="528838792">
    <w:abstractNumId w:val="79"/>
  </w:num>
  <w:num w:numId="25" w16cid:durableId="134953569">
    <w:abstractNumId w:val="75"/>
  </w:num>
  <w:num w:numId="26" w16cid:durableId="1743867347">
    <w:abstractNumId w:val="26"/>
  </w:num>
  <w:num w:numId="27" w16cid:durableId="115568167">
    <w:abstractNumId w:val="96"/>
  </w:num>
  <w:num w:numId="28" w16cid:durableId="1749843832">
    <w:abstractNumId w:val="77"/>
  </w:num>
  <w:num w:numId="29" w16cid:durableId="1281569180">
    <w:abstractNumId w:val="99"/>
  </w:num>
  <w:num w:numId="30" w16cid:durableId="1497959689">
    <w:abstractNumId w:val="35"/>
  </w:num>
  <w:num w:numId="31" w16cid:durableId="1110930108">
    <w:abstractNumId w:val="16"/>
  </w:num>
  <w:num w:numId="32" w16cid:durableId="113253854">
    <w:abstractNumId w:val="10"/>
  </w:num>
  <w:num w:numId="33" w16cid:durableId="470563422">
    <w:abstractNumId w:val="91"/>
  </w:num>
  <w:num w:numId="34" w16cid:durableId="366182314">
    <w:abstractNumId w:val="82"/>
  </w:num>
  <w:num w:numId="35" w16cid:durableId="623924159">
    <w:abstractNumId w:val="95"/>
  </w:num>
  <w:num w:numId="36" w16cid:durableId="1980068730">
    <w:abstractNumId w:val="29"/>
  </w:num>
  <w:num w:numId="37" w16cid:durableId="1355808880">
    <w:abstractNumId w:val="112"/>
  </w:num>
  <w:num w:numId="38" w16cid:durableId="1460606664">
    <w:abstractNumId w:val="66"/>
  </w:num>
  <w:num w:numId="39" w16cid:durableId="982780760">
    <w:abstractNumId w:val="21"/>
  </w:num>
  <w:num w:numId="40" w16cid:durableId="1124152927">
    <w:abstractNumId w:val="131"/>
  </w:num>
  <w:num w:numId="41" w16cid:durableId="877471645">
    <w:abstractNumId w:val="65"/>
  </w:num>
  <w:num w:numId="42" w16cid:durableId="2009356997">
    <w:abstractNumId w:val="30"/>
  </w:num>
  <w:num w:numId="43" w16cid:durableId="568807008">
    <w:abstractNumId w:val="124"/>
  </w:num>
  <w:num w:numId="44" w16cid:durableId="690649196">
    <w:abstractNumId w:val="7"/>
  </w:num>
  <w:num w:numId="45" w16cid:durableId="375354619">
    <w:abstractNumId w:val="19"/>
  </w:num>
  <w:num w:numId="46" w16cid:durableId="1877497651">
    <w:abstractNumId w:val="41"/>
  </w:num>
  <w:num w:numId="47" w16cid:durableId="1518036185">
    <w:abstractNumId w:val="123"/>
  </w:num>
  <w:num w:numId="48" w16cid:durableId="1393457940">
    <w:abstractNumId w:val="18"/>
  </w:num>
  <w:num w:numId="49" w16cid:durableId="678972474">
    <w:abstractNumId w:val="100"/>
  </w:num>
  <w:num w:numId="50" w16cid:durableId="1690066869">
    <w:abstractNumId w:val="43"/>
  </w:num>
  <w:num w:numId="51" w16cid:durableId="1390181941">
    <w:abstractNumId w:val="44"/>
  </w:num>
  <w:num w:numId="52" w16cid:durableId="790243393">
    <w:abstractNumId w:val="51"/>
  </w:num>
  <w:num w:numId="53" w16cid:durableId="562523929">
    <w:abstractNumId w:val="37"/>
  </w:num>
  <w:num w:numId="54" w16cid:durableId="1825655243">
    <w:abstractNumId w:val="15"/>
  </w:num>
  <w:num w:numId="55" w16cid:durableId="577902803">
    <w:abstractNumId w:val="9"/>
  </w:num>
  <w:num w:numId="56" w16cid:durableId="1852066036">
    <w:abstractNumId w:val="24"/>
  </w:num>
  <w:num w:numId="57" w16cid:durableId="884875384">
    <w:abstractNumId w:val="11"/>
  </w:num>
  <w:num w:numId="58" w16cid:durableId="198667938">
    <w:abstractNumId w:val="54"/>
  </w:num>
  <w:num w:numId="59" w16cid:durableId="411975024">
    <w:abstractNumId w:val="56"/>
  </w:num>
  <w:num w:numId="60" w16cid:durableId="54742857">
    <w:abstractNumId w:val="23"/>
  </w:num>
  <w:num w:numId="61" w16cid:durableId="44528402">
    <w:abstractNumId w:val="53"/>
  </w:num>
  <w:num w:numId="62" w16cid:durableId="728302741">
    <w:abstractNumId w:val="42"/>
  </w:num>
  <w:num w:numId="63" w16cid:durableId="1874461437">
    <w:abstractNumId w:val="130"/>
  </w:num>
  <w:num w:numId="64" w16cid:durableId="2133475105">
    <w:abstractNumId w:val="104"/>
  </w:num>
  <w:num w:numId="65" w16cid:durableId="234173221">
    <w:abstractNumId w:val="122"/>
  </w:num>
  <w:num w:numId="66" w16cid:durableId="1785924370">
    <w:abstractNumId w:val="57"/>
  </w:num>
  <w:num w:numId="67" w16cid:durableId="368649396">
    <w:abstractNumId w:val="71"/>
  </w:num>
  <w:num w:numId="68" w16cid:durableId="1536577439">
    <w:abstractNumId w:val="115"/>
  </w:num>
  <w:num w:numId="69" w16cid:durableId="277761412">
    <w:abstractNumId w:val="94"/>
  </w:num>
  <w:num w:numId="70" w16cid:durableId="903099746">
    <w:abstractNumId w:val="106"/>
  </w:num>
  <w:num w:numId="71" w16cid:durableId="1108309621">
    <w:abstractNumId w:val="84"/>
  </w:num>
  <w:num w:numId="72" w16cid:durableId="1735666555">
    <w:abstractNumId w:val="50"/>
  </w:num>
  <w:num w:numId="73" w16cid:durableId="1830055857">
    <w:abstractNumId w:val="93"/>
  </w:num>
  <w:num w:numId="74" w16cid:durableId="1924533696">
    <w:abstractNumId w:val="47"/>
  </w:num>
  <w:num w:numId="75" w16cid:durableId="665287939">
    <w:abstractNumId w:val="62"/>
  </w:num>
  <w:num w:numId="76" w16cid:durableId="1998222025">
    <w:abstractNumId w:val="63"/>
  </w:num>
  <w:num w:numId="77" w16cid:durableId="1785421477">
    <w:abstractNumId w:val="110"/>
  </w:num>
  <w:num w:numId="78" w16cid:durableId="664892481">
    <w:abstractNumId w:val="27"/>
  </w:num>
  <w:num w:numId="79" w16cid:durableId="1984579761">
    <w:abstractNumId w:val="61"/>
  </w:num>
  <w:num w:numId="80" w16cid:durableId="329331236">
    <w:abstractNumId w:val="25"/>
  </w:num>
  <w:num w:numId="81" w16cid:durableId="847133021">
    <w:abstractNumId w:val="114"/>
  </w:num>
  <w:num w:numId="82" w16cid:durableId="225844057">
    <w:abstractNumId w:val="126"/>
  </w:num>
  <w:num w:numId="83" w16cid:durableId="753666681">
    <w:abstractNumId w:val="34"/>
  </w:num>
  <w:num w:numId="84" w16cid:durableId="966155996">
    <w:abstractNumId w:val="46"/>
  </w:num>
  <w:num w:numId="85" w16cid:durableId="1742947453">
    <w:abstractNumId w:val="59"/>
  </w:num>
  <w:num w:numId="86" w16cid:durableId="1978297165">
    <w:abstractNumId w:val="31"/>
  </w:num>
  <w:num w:numId="87" w16cid:durableId="807208876">
    <w:abstractNumId w:val="67"/>
  </w:num>
  <w:num w:numId="88" w16cid:durableId="2003583549">
    <w:abstractNumId w:val="4"/>
  </w:num>
  <w:num w:numId="89" w16cid:durableId="1373848653">
    <w:abstractNumId w:val="32"/>
  </w:num>
  <w:num w:numId="90" w16cid:durableId="936448011">
    <w:abstractNumId w:val="12"/>
  </w:num>
  <w:num w:numId="91" w16cid:durableId="7951358">
    <w:abstractNumId w:val="6"/>
  </w:num>
  <w:num w:numId="92" w16cid:durableId="372777429">
    <w:abstractNumId w:val="17"/>
  </w:num>
  <w:num w:numId="93" w16cid:durableId="1122189532">
    <w:abstractNumId w:val="76"/>
  </w:num>
  <w:num w:numId="94" w16cid:durableId="1152983313">
    <w:abstractNumId w:val="48"/>
  </w:num>
  <w:num w:numId="95" w16cid:durableId="1933393675">
    <w:abstractNumId w:val="45"/>
  </w:num>
  <w:num w:numId="96" w16cid:durableId="265893491">
    <w:abstractNumId w:val="81"/>
  </w:num>
  <w:num w:numId="97" w16cid:durableId="2023041879">
    <w:abstractNumId w:val="129"/>
  </w:num>
  <w:num w:numId="98" w16cid:durableId="1749384449">
    <w:abstractNumId w:val="55"/>
  </w:num>
  <w:num w:numId="99" w16cid:durableId="663822819">
    <w:abstractNumId w:val="78"/>
  </w:num>
  <w:num w:numId="100" w16cid:durableId="715010700">
    <w:abstractNumId w:val="113"/>
  </w:num>
  <w:num w:numId="101" w16cid:durableId="1975329961">
    <w:abstractNumId w:val="22"/>
  </w:num>
  <w:num w:numId="102" w16cid:durableId="1158690813">
    <w:abstractNumId w:val="120"/>
  </w:num>
  <w:num w:numId="103" w16cid:durableId="918443141">
    <w:abstractNumId w:val="39"/>
  </w:num>
  <w:num w:numId="104" w16cid:durableId="1440030884">
    <w:abstractNumId w:val="89"/>
  </w:num>
  <w:num w:numId="105" w16cid:durableId="1485315296">
    <w:abstractNumId w:val="90"/>
  </w:num>
  <w:num w:numId="106" w16cid:durableId="74281146">
    <w:abstractNumId w:val="1"/>
  </w:num>
  <w:num w:numId="107" w16cid:durableId="1319070307">
    <w:abstractNumId w:val="98"/>
  </w:num>
  <w:num w:numId="108" w16cid:durableId="1591236166">
    <w:abstractNumId w:val="3"/>
  </w:num>
  <w:num w:numId="109" w16cid:durableId="1055618829">
    <w:abstractNumId w:val="121"/>
  </w:num>
  <w:num w:numId="110" w16cid:durableId="1796102347">
    <w:abstractNumId w:val="86"/>
  </w:num>
  <w:num w:numId="111" w16cid:durableId="1631394365">
    <w:abstractNumId w:val="49"/>
  </w:num>
  <w:num w:numId="112" w16cid:durableId="1337490915">
    <w:abstractNumId w:val="5"/>
  </w:num>
  <w:num w:numId="113" w16cid:durableId="1659116738">
    <w:abstractNumId w:val="52"/>
  </w:num>
  <w:num w:numId="114" w16cid:durableId="145711923">
    <w:abstractNumId w:val="33"/>
  </w:num>
  <w:num w:numId="115" w16cid:durableId="2088459961">
    <w:abstractNumId w:val="97"/>
  </w:num>
  <w:num w:numId="116" w16cid:durableId="10424427">
    <w:abstractNumId w:val="85"/>
  </w:num>
  <w:num w:numId="117" w16cid:durableId="1909805729">
    <w:abstractNumId w:val="72"/>
  </w:num>
  <w:num w:numId="118" w16cid:durableId="2122217764">
    <w:abstractNumId w:val="105"/>
  </w:num>
  <w:num w:numId="119" w16cid:durableId="1769423998">
    <w:abstractNumId w:val="88"/>
  </w:num>
  <w:num w:numId="120" w16cid:durableId="678510574">
    <w:abstractNumId w:val="74"/>
  </w:num>
  <w:num w:numId="121" w16cid:durableId="638656478">
    <w:abstractNumId w:val="13"/>
  </w:num>
  <w:num w:numId="122" w16cid:durableId="599221441">
    <w:abstractNumId w:val="119"/>
  </w:num>
  <w:num w:numId="123" w16cid:durableId="1066802419">
    <w:abstractNumId w:val="69"/>
  </w:num>
  <w:num w:numId="124" w16cid:durableId="1374231769">
    <w:abstractNumId w:val="117"/>
  </w:num>
  <w:num w:numId="125" w16cid:durableId="311174817">
    <w:abstractNumId w:val="132"/>
  </w:num>
  <w:num w:numId="126" w16cid:durableId="91439821">
    <w:abstractNumId w:val="128"/>
  </w:num>
  <w:num w:numId="127" w16cid:durableId="1144348646">
    <w:abstractNumId w:val="70"/>
  </w:num>
  <w:num w:numId="128" w16cid:durableId="1794209578">
    <w:abstractNumId w:val="83"/>
  </w:num>
  <w:num w:numId="129" w16cid:durableId="177427188">
    <w:abstractNumId w:val="0"/>
  </w:num>
  <w:num w:numId="130" w16cid:durableId="548805796">
    <w:abstractNumId w:val="36"/>
  </w:num>
  <w:num w:numId="131" w16cid:durableId="2082366317">
    <w:abstractNumId w:val="58"/>
  </w:num>
  <w:num w:numId="132" w16cid:durableId="852762193">
    <w:abstractNumId w:val="107"/>
  </w:num>
  <w:num w:numId="133" w16cid:durableId="1054159834">
    <w:abstractNumId w:val="80"/>
  </w:num>
  <w:num w:numId="134" w16cid:durableId="1358317099">
    <w:abstractNumId w:val="68"/>
  </w:num>
  <w:num w:numId="135" w16cid:durableId="831943727">
    <w:abstractNumId w:val="40"/>
  </w:num>
  <w:num w:numId="136" w16cid:durableId="939458781">
    <w:abstractNumId w:val="68"/>
  </w:num>
  <w:num w:numId="137" w16cid:durableId="1815874556">
    <w:abstractNumId w:val="101"/>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Lc0NTY3B7KMTJV0lIJTi4sz8/NACgxrAaPvDGosAAAA"/>
  </w:docVars>
  <w:rsids>
    <w:rsidRoot w:val="00B14A79"/>
    <w:rsid w:val="00043219"/>
    <w:rsid w:val="00044FA8"/>
    <w:rsid w:val="00056408"/>
    <w:rsid w:val="00060D8B"/>
    <w:rsid w:val="0006589C"/>
    <w:rsid w:val="00070D77"/>
    <w:rsid w:val="0007330B"/>
    <w:rsid w:val="00076134"/>
    <w:rsid w:val="00081C48"/>
    <w:rsid w:val="000902E7"/>
    <w:rsid w:val="00090B3F"/>
    <w:rsid w:val="000912FA"/>
    <w:rsid w:val="000A27A8"/>
    <w:rsid w:val="000A78A2"/>
    <w:rsid w:val="000B62E7"/>
    <w:rsid w:val="000B6CC5"/>
    <w:rsid w:val="000C7423"/>
    <w:rsid w:val="00102BCE"/>
    <w:rsid w:val="00102C21"/>
    <w:rsid w:val="00107F3C"/>
    <w:rsid w:val="00114BF6"/>
    <w:rsid w:val="0012003A"/>
    <w:rsid w:val="001306FA"/>
    <w:rsid w:val="00130784"/>
    <w:rsid w:val="001400F3"/>
    <w:rsid w:val="00145F78"/>
    <w:rsid w:val="00151C15"/>
    <w:rsid w:val="0015618E"/>
    <w:rsid w:val="00171F21"/>
    <w:rsid w:val="0017673F"/>
    <w:rsid w:val="00184161"/>
    <w:rsid w:val="001870F7"/>
    <w:rsid w:val="00190F90"/>
    <w:rsid w:val="001A37B7"/>
    <w:rsid w:val="001A77C9"/>
    <w:rsid w:val="001C255A"/>
    <w:rsid w:val="001C2CEF"/>
    <w:rsid w:val="001C4E2E"/>
    <w:rsid w:val="001C7473"/>
    <w:rsid w:val="001E1DE6"/>
    <w:rsid w:val="001F10B8"/>
    <w:rsid w:val="001F54C1"/>
    <w:rsid w:val="001F6BE2"/>
    <w:rsid w:val="00205522"/>
    <w:rsid w:val="00211E97"/>
    <w:rsid w:val="00213EAC"/>
    <w:rsid w:val="002144EA"/>
    <w:rsid w:val="0021676D"/>
    <w:rsid w:val="00220017"/>
    <w:rsid w:val="002254C6"/>
    <w:rsid w:val="0023341D"/>
    <w:rsid w:val="00254C5B"/>
    <w:rsid w:val="002704CE"/>
    <w:rsid w:val="00272638"/>
    <w:rsid w:val="0028436C"/>
    <w:rsid w:val="002A1DEB"/>
    <w:rsid w:val="002A5B90"/>
    <w:rsid w:val="002A747A"/>
    <w:rsid w:val="002B029D"/>
    <w:rsid w:val="002B3B32"/>
    <w:rsid w:val="002B3DB3"/>
    <w:rsid w:val="002B3F4F"/>
    <w:rsid w:val="002C0981"/>
    <w:rsid w:val="002D1A16"/>
    <w:rsid w:val="002E7BED"/>
    <w:rsid w:val="002F5880"/>
    <w:rsid w:val="00307FD1"/>
    <w:rsid w:val="0034591F"/>
    <w:rsid w:val="003472F9"/>
    <w:rsid w:val="00354CC1"/>
    <w:rsid w:val="003613E9"/>
    <w:rsid w:val="00367A62"/>
    <w:rsid w:val="003830BF"/>
    <w:rsid w:val="00384C73"/>
    <w:rsid w:val="003914D3"/>
    <w:rsid w:val="0039488C"/>
    <w:rsid w:val="003B532C"/>
    <w:rsid w:val="003C26D4"/>
    <w:rsid w:val="003D4883"/>
    <w:rsid w:val="003E6EB7"/>
    <w:rsid w:val="003F2D6D"/>
    <w:rsid w:val="00407C2A"/>
    <w:rsid w:val="00410DEF"/>
    <w:rsid w:val="00416D23"/>
    <w:rsid w:val="00435AE6"/>
    <w:rsid w:val="0044350D"/>
    <w:rsid w:val="00447F61"/>
    <w:rsid w:val="004567D9"/>
    <w:rsid w:val="00460527"/>
    <w:rsid w:val="00474D5E"/>
    <w:rsid w:val="004751AF"/>
    <w:rsid w:val="004B00E5"/>
    <w:rsid w:val="004D2A55"/>
    <w:rsid w:val="004D6BBE"/>
    <w:rsid w:val="004E1E2D"/>
    <w:rsid w:val="004F3D5C"/>
    <w:rsid w:val="0050013C"/>
    <w:rsid w:val="00502F37"/>
    <w:rsid w:val="005041C2"/>
    <w:rsid w:val="00513C46"/>
    <w:rsid w:val="00514D6C"/>
    <w:rsid w:val="00526938"/>
    <w:rsid w:val="00565EF9"/>
    <w:rsid w:val="0058142B"/>
    <w:rsid w:val="005925D9"/>
    <w:rsid w:val="00592E41"/>
    <w:rsid w:val="005D1A42"/>
    <w:rsid w:val="005D75B8"/>
    <w:rsid w:val="00604F85"/>
    <w:rsid w:val="00615B25"/>
    <w:rsid w:val="00620F67"/>
    <w:rsid w:val="00630D63"/>
    <w:rsid w:val="00632CF8"/>
    <w:rsid w:val="006341ED"/>
    <w:rsid w:val="00636348"/>
    <w:rsid w:val="00646950"/>
    <w:rsid w:val="006751B3"/>
    <w:rsid w:val="00677440"/>
    <w:rsid w:val="006B3EA5"/>
    <w:rsid w:val="006F2B0A"/>
    <w:rsid w:val="006F53EF"/>
    <w:rsid w:val="00700331"/>
    <w:rsid w:val="007003F0"/>
    <w:rsid w:val="0071593C"/>
    <w:rsid w:val="00727476"/>
    <w:rsid w:val="0073578C"/>
    <w:rsid w:val="00741927"/>
    <w:rsid w:val="007444D4"/>
    <w:rsid w:val="00750926"/>
    <w:rsid w:val="00790995"/>
    <w:rsid w:val="00795779"/>
    <w:rsid w:val="00797737"/>
    <w:rsid w:val="007A6FE0"/>
    <w:rsid w:val="007B3834"/>
    <w:rsid w:val="007B3950"/>
    <w:rsid w:val="007D0C83"/>
    <w:rsid w:val="007E1479"/>
    <w:rsid w:val="007E24D0"/>
    <w:rsid w:val="007E2C3A"/>
    <w:rsid w:val="007F0422"/>
    <w:rsid w:val="007F09AE"/>
    <w:rsid w:val="007F69DB"/>
    <w:rsid w:val="00815DED"/>
    <w:rsid w:val="00823C14"/>
    <w:rsid w:val="008243B2"/>
    <w:rsid w:val="008304D2"/>
    <w:rsid w:val="0083495E"/>
    <w:rsid w:val="00837102"/>
    <w:rsid w:val="0085195A"/>
    <w:rsid w:val="008657B1"/>
    <w:rsid w:val="00865E53"/>
    <w:rsid w:val="00881FAA"/>
    <w:rsid w:val="008826A7"/>
    <w:rsid w:val="00884E2C"/>
    <w:rsid w:val="008A0587"/>
    <w:rsid w:val="008A40E8"/>
    <w:rsid w:val="008B09F5"/>
    <w:rsid w:val="008E139C"/>
    <w:rsid w:val="008F5B0A"/>
    <w:rsid w:val="009236E8"/>
    <w:rsid w:val="009254DA"/>
    <w:rsid w:val="009273DE"/>
    <w:rsid w:val="00931DF0"/>
    <w:rsid w:val="00944872"/>
    <w:rsid w:val="00953B22"/>
    <w:rsid w:val="00954464"/>
    <w:rsid w:val="00962E1E"/>
    <w:rsid w:val="009706B4"/>
    <w:rsid w:val="00975790"/>
    <w:rsid w:val="0098221D"/>
    <w:rsid w:val="00985C79"/>
    <w:rsid w:val="00992B06"/>
    <w:rsid w:val="009B11C8"/>
    <w:rsid w:val="009B5514"/>
    <w:rsid w:val="009C3A84"/>
    <w:rsid w:val="009D0411"/>
    <w:rsid w:val="009E26CB"/>
    <w:rsid w:val="009E2A8C"/>
    <w:rsid w:val="009F36FA"/>
    <w:rsid w:val="00A144CA"/>
    <w:rsid w:val="00A22EEF"/>
    <w:rsid w:val="00A3105C"/>
    <w:rsid w:val="00A36801"/>
    <w:rsid w:val="00A5173D"/>
    <w:rsid w:val="00A57EE6"/>
    <w:rsid w:val="00A61A71"/>
    <w:rsid w:val="00A70EB8"/>
    <w:rsid w:val="00A83F4E"/>
    <w:rsid w:val="00A9522B"/>
    <w:rsid w:val="00AA4930"/>
    <w:rsid w:val="00AB68B3"/>
    <w:rsid w:val="00AC322B"/>
    <w:rsid w:val="00AD5C8F"/>
    <w:rsid w:val="00AD7838"/>
    <w:rsid w:val="00AE0D8F"/>
    <w:rsid w:val="00B00A75"/>
    <w:rsid w:val="00B017F7"/>
    <w:rsid w:val="00B026A1"/>
    <w:rsid w:val="00B0703B"/>
    <w:rsid w:val="00B1098C"/>
    <w:rsid w:val="00B1231C"/>
    <w:rsid w:val="00B14A79"/>
    <w:rsid w:val="00B228F7"/>
    <w:rsid w:val="00B37497"/>
    <w:rsid w:val="00B4213A"/>
    <w:rsid w:val="00B4718D"/>
    <w:rsid w:val="00B5315D"/>
    <w:rsid w:val="00B55D75"/>
    <w:rsid w:val="00B619B2"/>
    <w:rsid w:val="00B7150E"/>
    <w:rsid w:val="00B95C38"/>
    <w:rsid w:val="00B95E1D"/>
    <w:rsid w:val="00BA6557"/>
    <w:rsid w:val="00BB6A86"/>
    <w:rsid w:val="00BD13D7"/>
    <w:rsid w:val="00BE34DD"/>
    <w:rsid w:val="00BE3FD0"/>
    <w:rsid w:val="00C0603B"/>
    <w:rsid w:val="00C25DB5"/>
    <w:rsid w:val="00C372B8"/>
    <w:rsid w:val="00C4060D"/>
    <w:rsid w:val="00C46112"/>
    <w:rsid w:val="00C65EEA"/>
    <w:rsid w:val="00C755EA"/>
    <w:rsid w:val="00C946A3"/>
    <w:rsid w:val="00C95B3E"/>
    <w:rsid w:val="00CA4883"/>
    <w:rsid w:val="00CA5AAE"/>
    <w:rsid w:val="00CC38D5"/>
    <w:rsid w:val="00CC4F50"/>
    <w:rsid w:val="00CE45EE"/>
    <w:rsid w:val="00CE6C5F"/>
    <w:rsid w:val="00CF3676"/>
    <w:rsid w:val="00D06DB8"/>
    <w:rsid w:val="00D2465B"/>
    <w:rsid w:val="00D3410A"/>
    <w:rsid w:val="00D36979"/>
    <w:rsid w:val="00D36BEE"/>
    <w:rsid w:val="00D7130F"/>
    <w:rsid w:val="00D822DA"/>
    <w:rsid w:val="00D82B0A"/>
    <w:rsid w:val="00D82FF3"/>
    <w:rsid w:val="00D85565"/>
    <w:rsid w:val="00D975D4"/>
    <w:rsid w:val="00D97F62"/>
    <w:rsid w:val="00DB199D"/>
    <w:rsid w:val="00DE2AB6"/>
    <w:rsid w:val="00DF0BD4"/>
    <w:rsid w:val="00E1155C"/>
    <w:rsid w:val="00E16EA0"/>
    <w:rsid w:val="00E171DE"/>
    <w:rsid w:val="00E370B6"/>
    <w:rsid w:val="00E44056"/>
    <w:rsid w:val="00E46CFF"/>
    <w:rsid w:val="00E63881"/>
    <w:rsid w:val="00E64EED"/>
    <w:rsid w:val="00E70CC1"/>
    <w:rsid w:val="00E7211F"/>
    <w:rsid w:val="00E74DBD"/>
    <w:rsid w:val="00E80ADC"/>
    <w:rsid w:val="00E87E1C"/>
    <w:rsid w:val="00EB0467"/>
    <w:rsid w:val="00EB09E1"/>
    <w:rsid w:val="00EB1520"/>
    <w:rsid w:val="00ED1893"/>
    <w:rsid w:val="00ED785F"/>
    <w:rsid w:val="00EE10DC"/>
    <w:rsid w:val="00EE173D"/>
    <w:rsid w:val="00F103C2"/>
    <w:rsid w:val="00F37840"/>
    <w:rsid w:val="00F51A86"/>
    <w:rsid w:val="00F563EA"/>
    <w:rsid w:val="00F57767"/>
    <w:rsid w:val="00F60FD7"/>
    <w:rsid w:val="00F86B74"/>
    <w:rsid w:val="00F86D1C"/>
    <w:rsid w:val="00F90B89"/>
    <w:rsid w:val="00F92E3B"/>
    <w:rsid w:val="00F9432F"/>
    <w:rsid w:val="00FA5005"/>
    <w:rsid w:val="00FC2C5E"/>
    <w:rsid w:val="00FC4638"/>
    <w:rsid w:val="00FC505D"/>
    <w:rsid w:val="00FF164D"/>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paragraph" w:customStyle="1" w:styleId="WPBullet">
    <w:name w:val="W&amp;P Bullet"/>
    <w:basedOn w:val="Normal"/>
    <w:qFormat/>
    <w:rsid w:val="00D97F62"/>
    <w:pPr>
      <w:numPr>
        <w:numId w:val="137"/>
      </w:numPr>
      <w:tabs>
        <w:tab w:val="num" w:pos="6"/>
      </w:tabs>
      <w:spacing w:before="120" w:line="23" w:lineRule="atLeast"/>
      <w:ind w:left="357" w:hanging="357"/>
      <w:contextualSpacing/>
    </w:pPr>
    <w:rPr>
      <w:rFonts w:ascii="Arial" w:eastAsia="HGGothicM" w:hAnsi="Arial" w:cs="Arial"/>
      <w:sz w:val="24"/>
      <w:szCs w:val="24"/>
      <w:lang w:val="en-GB" w:eastAsia="sk-SK"/>
    </w:rPr>
  </w:style>
  <w:style w:type="paragraph" w:customStyle="1" w:styleId="WPHeading">
    <w:name w:val="W&amp;P Heading"/>
    <w:basedOn w:val="Heading1"/>
    <w:qFormat/>
    <w:rsid w:val="00D97F62"/>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D97F62"/>
    <w:rPr>
      <w:color w:val="auto"/>
    </w:rPr>
  </w:style>
  <w:style w:type="paragraph" w:customStyle="1" w:styleId="WPHeading3">
    <w:name w:val="W&amp;P Heading 3"/>
    <w:basedOn w:val="WPHeading2"/>
    <w:qFormat/>
    <w:rsid w:val="00D97F62"/>
    <w:rPr>
      <w:i/>
    </w:rPr>
  </w:style>
  <w:style w:type="paragraph" w:customStyle="1" w:styleId="WPParagraph">
    <w:name w:val="W&amp;P Paragraph"/>
    <w:basedOn w:val="Normal"/>
    <w:qFormat/>
    <w:rsid w:val="00D97F62"/>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1C7473"/>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38320">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650863868">
      <w:bodyDiv w:val="1"/>
      <w:marLeft w:val="0"/>
      <w:marRight w:val="0"/>
      <w:marTop w:val="0"/>
      <w:marBottom w:val="0"/>
      <w:divBdr>
        <w:top w:val="none" w:sz="0" w:space="0" w:color="auto"/>
        <w:left w:val="none" w:sz="0" w:space="0" w:color="auto"/>
        <w:bottom w:val="none" w:sz="0" w:space="0" w:color="auto"/>
        <w:right w:val="none" w:sz="0" w:space="0" w:color="auto"/>
      </w:divBdr>
    </w:div>
    <w:div w:id="1286815049">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eader" Target="header3.xm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DKHXZA7SSHQN-167323429-701395</_dlc_DocId>
    <_dlc_DocIdUrl xmlns="9daa91de-cd2d-4d57-bbd1-50f17b14a644">
      <Url>https://wandpassessment.sharepoint.com/sites/Data/_layouts/15/DocIdRedir.aspx?ID=DKHXZA7SSHQN-167323429-701395</Url>
      <Description>DKHXZA7SSHQN-167323429-701395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20A9A1-EA92-4BDC-A0A2-6D5AA063E856}">
  <ds:schemaRefs>
    <ds:schemaRef ds:uri="http://schemas.openxmlformats.org/officeDocument/2006/bibliography"/>
  </ds:schemaRefs>
</ds:datastoreItem>
</file>

<file path=customXml/itemProps2.xml><?xml version="1.0" encoding="utf-8"?>
<ds:datastoreItem xmlns:ds="http://schemas.openxmlformats.org/officeDocument/2006/customXml" ds:itemID="{311CD667-B0D0-48F7-B8BF-A30DCBFF2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893C0-EE5E-40CF-99CD-C6333BFEFEBF}">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4.xml><?xml version="1.0" encoding="utf-8"?>
<ds:datastoreItem xmlns:ds="http://schemas.openxmlformats.org/officeDocument/2006/customXml" ds:itemID="{BE03F86E-6B33-4214-A7C8-84C25D4CCE9F}">
  <ds:schemaRefs>
    <ds:schemaRef ds:uri="http://schemas.microsoft.com/sharepoint/v3/contenttype/forms"/>
  </ds:schemaRefs>
</ds:datastoreItem>
</file>

<file path=customXml/itemProps5.xml><?xml version="1.0" encoding="utf-8"?>
<ds:datastoreItem xmlns:ds="http://schemas.openxmlformats.org/officeDocument/2006/customXml" ds:itemID="{95DF2D43-F155-474B-B342-85C092E2EC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2023-07-25T08:14:00Z</dcterms:created>
  <dcterms:modified xsi:type="dcterms:W3CDTF">2023-07-25T08:14:00Z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5565400</vt:r8>
  </property>
  <property fmtid="{D5CDD505-2E9C-101B-9397-08002B2CF9AE}" pid="4" name="_dlc_DocIdItemGuid">
    <vt:lpwstr>c20233a8-90f8-4d39-8fa6-a456f39e76b6</vt:lpwstr>
  </property>
  <property fmtid="{D5CDD505-2E9C-101B-9397-08002B2CF9AE}" pid="5" name="MediaServiceImageTags">
    <vt:lpwstr/>
  </property>
  <property fmtid="{D5CDD505-2E9C-101B-9397-08002B2CF9AE}" pid="6" name="GrammarlyDocumentId">
    <vt:lpwstr>6fb4383c7180f723b95d88358be9870fe985e734bc7e275810beed2c4a5c65f9</vt:lpwstr>
  </property>
</Properties>
</file>