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DBE7" w14:textId="5A344801" w:rsidR="00C90399" w:rsidRPr="00C90399" w:rsidRDefault="00C90399" w:rsidP="00C90399">
      <w:pPr>
        <w:pStyle w:val="Heading1"/>
        <w:spacing w:before="0" w:after="0" w:line="240" w:lineRule="auto"/>
        <w:jc w:val="center"/>
        <w:rPr>
          <w:sz w:val="28"/>
        </w:rPr>
      </w:pPr>
    </w:p>
    <w:p w14:paraId="55C9B01E" w14:textId="77777777" w:rsidR="00C90399" w:rsidRPr="00C90399" w:rsidRDefault="00C90399" w:rsidP="00C90399">
      <w:pPr>
        <w:tabs>
          <w:tab w:val="center" w:pos="4320"/>
          <w:tab w:val="right" w:pos="8640"/>
        </w:tabs>
        <w:spacing w:after="0" w:line="240" w:lineRule="auto"/>
        <w:rPr>
          <w:rFonts w:ascii="Gill Sans MT" w:eastAsia="Times New Roman" w:hAnsi="Gill Sans MT" w:cs="Times New Roman"/>
          <w:b/>
          <w:bCs/>
          <w:sz w:val="28"/>
          <w:szCs w:val="28"/>
          <w:lang w:val="en-GB"/>
        </w:rPr>
      </w:pPr>
      <w:r w:rsidRPr="00C90399">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198021EA" wp14:editId="63A1DE67">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C90399">
        <w:rPr>
          <w:rFonts w:ascii="Arial Black" w:eastAsia="Times New Roman" w:hAnsi="Arial Black" w:cs="Arial"/>
          <w:color w:val="FF0000"/>
          <w:sz w:val="32"/>
          <w:szCs w:val="32"/>
        </w:rPr>
        <w:t xml:space="preserve"> </w:t>
      </w:r>
      <w:r w:rsidRPr="00C90399">
        <w:rPr>
          <w:rFonts w:ascii="Gill Sans MT" w:eastAsia="Times New Roman" w:hAnsi="Gill Sans MT" w:cs="Times New Roman"/>
          <w:b/>
          <w:bCs/>
          <w:color w:val="FF0000"/>
          <w:sz w:val="36"/>
          <w:szCs w:val="36"/>
          <w:lang w:val="en-GB"/>
        </w:rPr>
        <w:t>Promise Care Services Ltd</w:t>
      </w:r>
      <w:r w:rsidRPr="00C90399">
        <w:rPr>
          <w:rFonts w:ascii="Gill Sans MT" w:eastAsia="Times New Roman" w:hAnsi="Gill Sans MT" w:cs="Times New Roman"/>
          <w:b/>
          <w:bCs/>
          <w:color w:val="0000FF"/>
          <w:sz w:val="28"/>
          <w:szCs w:val="28"/>
          <w:lang w:val="en-GB"/>
        </w:rPr>
        <w:t xml:space="preserve">                    </w:t>
      </w:r>
    </w:p>
    <w:p w14:paraId="7067B64E" w14:textId="35766151" w:rsidR="00C90399" w:rsidRDefault="00C90399" w:rsidP="00C90399">
      <w:pPr>
        <w:pStyle w:val="Heading1"/>
        <w:spacing w:before="0" w:after="0" w:line="240" w:lineRule="auto"/>
        <w:jc w:val="center"/>
        <w:rPr>
          <w:sz w:val="28"/>
        </w:rPr>
      </w:pPr>
      <w:r w:rsidRPr="00C90399">
        <w:rPr>
          <w:rFonts w:ascii="Gill Sans MT" w:hAnsi="Gill Sans MT"/>
          <w:color w:val="0000FF"/>
          <w:sz w:val="28"/>
        </w:rPr>
        <w:t xml:space="preserve">                    </w:t>
      </w:r>
    </w:p>
    <w:p w14:paraId="7B8C81C4" w14:textId="02181198" w:rsidR="000A485B" w:rsidRDefault="0077521E" w:rsidP="00FD19F1">
      <w:pPr>
        <w:pStyle w:val="Heading1"/>
        <w:spacing w:before="0" w:after="0" w:line="240" w:lineRule="auto"/>
        <w:jc w:val="center"/>
        <w:rPr>
          <w:b w:val="0"/>
          <w:bCs w:val="0"/>
          <w:sz w:val="28"/>
        </w:rPr>
      </w:pPr>
      <w:r>
        <w:rPr>
          <w:sz w:val="28"/>
        </w:rPr>
        <w:t>FEMALE GENITAL MUTILATION</w:t>
      </w:r>
      <w:r w:rsidR="000A485B">
        <w:rPr>
          <w:b w:val="0"/>
          <w:bCs w:val="0"/>
          <w:sz w:val="28"/>
        </w:rPr>
        <w:t xml:space="preserve"> </w:t>
      </w:r>
    </w:p>
    <w:p w14:paraId="42C6E9DA" w14:textId="1F634251" w:rsidR="00A61A71" w:rsidRDefault="00B14A79" w:rsidP="000A485B">
      <w:pPr>
        <w:pStyle w:val="WPHeading"/>
      </w:pPr>
      <w:r w:rsidRPr="00B14A79">
        <w:t>cope</w:t>
      </w:r>
    </w:p>
    <w:p w14:paraId="3FE92DFE" w14:textId="203071A0" w:rsidR="00B7150E" w:rsidRPr="000A485B" w:rsidRDefault="00B7150E" w:rsidP="000A485B">
      <w:pPr>
        <w:pStyle w:val="WPBullet"/>
        <w:rPr>
          <w:b/>
          <w:bCs/>
          <w:lang w:bidi="en-US"/>
        </w:rPr>
      </w:pPr>
      <w:r w:rsidRPr="000A485B">
        <w:rPr>
          <w:b/>
          <w:bCs/>
          <w:lang w:bidi="en-US"/>
        </w:rPr>
        <w:t>Policy Statement</w:t>
      </w:r>
    </w:p>
    <w:p w14:paraId="43088892" w14:textId="0A776F57" w:rsidR="00B07B45" w:rsidRPr="000A485B" w:rsidRDefault="00090B3F" w:rsidP="000A485B">
      <w:pPr>
        <w:pStyle w:val="WPBullet"/>
        <w:rPr>
          <w:b/>
          <w:bCs/>
          <w:lang w:bidi="en-US"/>
        </w:rPr>
      </w:pPr>
      <w:r w:rsidRPr="000A485B">
        <w:rPr>
          <w:b/>
          <w:bCs/>
          <w:lang w:bidi="en-US"/>
        </w:rPr>
        <w:t>T</w:t>
      </w:r>
      <w:r w:rsidR="00B7150E" w:rsidRPr="000A485B">
        <w:rPr>
          <w:b/>
          <w:bCs/>
          <w:lang w:bidi="en-US"/>
        </w:rPr>
        <w:t>he Policy</w:t>
      </w:r>
    </w:p>
    <w:p w14:paraId="7A5E1FE2" w14:textId="57431EBE" w:rsidR="00534A00" w:rsidRPr="00AD4E95" w:rsidRDefault="00534A00" w:rsidP="000A485B">
      <w:pPr>
        <w:pStyle w:val="WPBullet"/>
        <w:rPr>
          <w:lang w:bidi="en-US"/>
        </w:rPr>
      </w:pPr>
      <w:r w:rsidRPr="00AD4E95">
        <w:rPr>
          <w:lang w:bidi="en-US"/>
        </w:rPr>
        <w:t>Principles Supporting the Guidance</w:t>
      </w:r>
    </w:p>
    <w:p w14:paraId="44FF3BEF" w14:textId="36AA4518" w:rsidR="00534A00" w:rsidRPr="00AD4E95" w:rsidRDefault="00534A00" w:rsidP="000A485B">
      <w:pPr>
        <w:pStyle w:val="WPBullet"/>
        <w:rPr>
          <w:lang w:bidi="en-US"/>
        </w:rPr>
      </w:pPr>
      <w:r w:rsidRPr="00AD4E95">
        <w:rPr>
          <w:lang w:bidi="en-US"/>
        </w:rPr>
        <w:t>Definitions</w:t>
      </w:r>
    </w:p>
    <w:p w14:paraId="3D297EB0" w14:textId="0D9BFFE0" w:rsidR="00534A00" w:rsidRPr="00AD4E95" w:rsidRDefault="00534A00" w:rsidP="000A485B">
      <w:pPr>
        <w:pStyle w:val="WPBullet"/>
        <w:rPr>
          <w:lang w:bidi="en-US"/>
        </w:rPr>
      </w:pPr>
      <w:r w:rsidRPr="00AD4E95">
        <w:rPr>
          <w:lang w:bidi="en-US"/>
        </w:rPr>
        <w:t>What is FGM?</w:t>
      </w:r>
    </w:p>
    <w:p w14:paraId="34B3DEA3" w14:textId="2B3AA34C" w:rsidR="00534A00" w:rsidRPr="00AD4E95" w:rsidRDefault="00534A00" w:rsidP="000A485B">
      <w:pPr>
        <w:pStyle w:val="WPBullet"/>
        <w:rPr>
          <w:lang w:bidi="en-US"/>
        </w:rPr>
      </w:pPr>
      <w:r w:rsidRPr="00AD4E95">
        <w:rPr>
          <w:lang w:bidi="en-US"/>
        </w:rPr>
        <w:t>Types of FGM</w:t>
      </w:r>
    </w:p>
    <w:p w14:paraId="6CE0DEDF" w14:textId="3815664E" w:rsidR="00B7150E" w:rsidRPr="000A485B" w:rsidRDefault="00B7150E" w:rsidP="000A485B">
      <w:pPr>
        <w:pStyle w:val="WPBullet"/>
        <w:rPr>
          <w:b/>
          <w:bCs/>
          <w:lang w:bidi="en-US"/>
        </w:rPr>
      </w:pPr>
      <w:r w:rsidRPr="000A485B">
        <w:rPr>
          <w:b/>
          <w:bCs/>
          <w:lang w:bidi="en-US"/>
        </w:rPr>
        <w:t>Related Policies</w:t>
      </w:r>
    </w:p>
    <w:p w14:paraId="4144DE55" w14:textId="42DC3D82" w:rsidR="00B7150E" w:rsidRPr="000A485B" w:rsidRDefault="00B7150E" w:rsidP="000A485B">
      <w:pPr>
        <w:pStyle w:val="WPBullet"/>
        <w:rPr>
          <w:b/>
          <w:bCs/>
          <w:lang w:bidi="en-US"/>
        </w:rPr>
      </w:pPr>
      <w:r w:rsidRPr="000A485B">
        <w:rPr>
          <w:b/>
          <w:bCs/>
          <w:lang w:bidi="en-US"/>
        </w:rPr>
        <w:t>Related Guidance</w:t>
      </w:r>
    </w:p>
    <w:p w14:paraId="2A1FD643" w14:textId="5733CE00" w:rsidR="001510E9" w:rsidRPr="000A485B" w:rsidRDefault="00692145" w:rsidP="000A485B">
      <w:pPr>
        <w:pStyle w:val="WPBullet"/>
        <w:rPr>
          <w:b/>
          <w:bCs/>
          <w:lang w:bidi="en-US"/>
        </w:rPr>
      </w:pPr>
      <w:r w:rsidRPr="000A485B">
        <w:rPr>
          <w:b/>
          <w:bCs/>
          <w:lang w:bidi="en-US"/>
        </w:rPr>
        <w:t>Training Statement</w:t>
      </w:r>
      <w:bookmarkStart w:id="0" w:name="_Hlk527628763"/>
    </w:p>
    <w:p w14:paraId="4BE7B045" w14:textId="77777777" w:rsidR="000A485B" w:rsidRDefault="00B7150E" w:rsidP="007E6121">
      <w:pPr>
        <w:pStyle w:val="WPHeading"/>
        <w:jc w:val="both"/>
      </w:pPr>
      <w:r>
        <w:t>Policy Statement</w:t>
      </w:r>
      <w:bookmarkEnd w:id="0"/>
      <w:r w:rsidR="000A485B">
        <w:t xml:space="preserve"> </w:t>
      </w:r>
    </w:p>
    <w:p w14:paraId="53ABE2A5" w14:textId="3C560BB5" w:rsidR="009A719F" w:rsidRPr="009A719F" w:rsidRDefault="009A719F" w:rsidP="00196400">
      <w:pPr>
        <w:pStyle w:val="WPParagraph"/>
        <w:rPr>
          <w:rFonts w:eastAsia="Calibri"/>
        </w:rPr>
      </w:pPr>
      <w:r w:rsidRPr="009A719F">
        <w:rPr>
          <w:rFonts w:eastAsia="Calibri"/>
        </w:rPr>
        <w:t xml:space="preserve">It is important to note this policy is to be viewed as an awareness policy for those in the Adult Health and Social Care sector who are a provider of services. There is a multi-agency statutory guidance document, issued by the government, on which this policy is based. The guidance document has three key functions: </w:t>
      </w:r>
    </w:p>
    <w:p w14:paraId="0422BC52" w14:textId="3F4B8DBB" w:rsidR="009A719F" w:rsidRPr="009A719F" w:rsidRDefault="009A719F" w:rsidP="00196400">
      <w:pPr>
        <w:pStyle w:val="WPBullet"/>
      </w:pPr>
      <w:r w:rsidRPr="009A719F">
        <w:t>To provide information on FGM, including the legislative framework</w:t>
      </w:r>
      <w:r w:rsidR="000A485B">
        <w:t>.</w:t>
      </w:r>
    </w:p>
    <w:p w14:paraId="439F4A3D" w14:textId="4C0BE5B6" w:rsidR="009A719F" w:rsidRPr="009A719F" w:rsidRDefault="009A719F" w:rsidP="00196400">
      <w:pPr>
        <w:pStyle w:val="WPBullet"/>
      </w:pPr>
      <w:r w:rsidRPr="009A719F">
        <w:t xml:space="preserve">To provide strategic guidance on FGM for </w:t>
      </w:r>
      <w:r w:rsidR="00AF5118" w:rsidRPr="009A719F">
        <w:t>chief executives, directors and senior</w:t>
      </w:r>
      <w:r w:rsidR="00AF5118">
        <w:t xml:space="preserve"> </w:t>
      </w:r>
      <w:r w:rsidR="00AF5118" w:rsidRPr="009A719F">
        <w:t>managers within local authorities, police,</w:t>
      </w:r>
      <w:r w:rsidRPr="009A719F">
        <w:t xml:space="preserve"> NHS, or any third parties, exercising public protection functions on behalf of those bodies. For this policy, we are a third</w:t>
      </w:r>
      <w:r w:rsidR="000A485B">
        <w:t>-</w:t>
      </w:r>
      <w:r w:rsidRPr="009A719F">
        <w:t>party</w:t>
      </w:r>
      <w:r w:rsidR="00AF5118">
        <w:t>,</w:t>
      </w:r>
      <w:r w:rsidRPr="009A719F">
        <w:t xml:space="preserve"> exercising </w:t>
      </w:r>
      <w:r w:rsidR="00AF5118" w:rsidRPr="009A719F">
        <w:t xml:space="preserve">adult safeguarding </w:t>
      </w:r>
      <w:r w:rsidRPr="009A719F">
        <w:t xml:space="preserve">duties via the </w:t>
      </w:r>
      <w:r w:rsidR="00AF5118" w:rsidRPr="009A719F">
        <w:t xml:space="preserve">local authorities we provide services for. </w:t>
      </w:r>
    </w:p>
    <w:p w14:paraId="390CDDF3" w14:textId="15B7B06A" w:rsidR="0077521E" w:rsidRPr="009A719F" w:rsidRDefault="009A719F" w:rsidP="00196400">
      <w:pPr>
        <w:pStyle w:val="WPBullet"/>
      </w:pPr>
      <w:r w:rsidRPr="009A719F">
        <w:t>To provide advice and support to front-line professionals, such as social workers, nurses, support workers, charity employees</w:t>
      </w:r>
      <w:r w:rsidR="00AF5118">
        <w:t>,</w:t>
      </w:r>
      <w:r w:rsidRPr="009A719F">
        <w:t xml:space="preserve"> etc. </w:t>
      </w:r>
    </w:p>
    <w:p w14:paraId="24FE2024" w14:textId="74CBEDDD" w:rsidR="00EB0467" w:rsidRDefault="00AD5C8F" w:rsidP="00196400">
      <w:pPr>
        <w:pStyle w:val="WPHeading"/>
      </w:pPr>
      <w:r w:rsidRPr="00AD4E95">
        <w:t>The Policy</w:t>
      </w:r>
    </w:p>
    <w:p w14:paraId="45FB62B6" w14:textId="695BEB1C" w:rsidR="009A719F" w:rsidRPr="009A719F" w:rsidRDefault="009A719F" w:rsidP="00D96133">
      <w:pPr>
        <w:pStyle w:val="WPHeading2"/>
        <w:spacing w:before="0"/>
      </w:pPr>
      <w:r w:rsidRPr="009A719F">
        <w:t>Principles Supporting the Guidance</w:t>
      </w:r>
      <w:r w:rsidR="000A485B">
        <w:t xml:space="preserve"> </w:t>
      </w:r>
    </w:p>
    <w:p w14:paraId="5806A773" w14:textId="7F78517A" w:rsidR="009A719F" w:rsidRPr="009A719F" w:rsidRDefault="009A719F" w:rsidP="00196400">
      <w:pPr>
        <w:pStyle w:val="WPParagraph"/>
        <w:rPr>
          <w:rFonts w:eastAsia="Calibri"/>
        </w:rPr>
      </w:pPr>
      <w:r w:rsidRPr="009A719F">
        <w:rPr>
          <w:rFonts w:eastAsia="Calibri"/>
        </w:rPr>
        <w:t xml:space="preserve">FGM is a criminal offence, it is child abuse and a form of violence against women and girls. Cases should be dealt with as part of existing structures, e.g. Adult and Children Safeguarding processes, policies, procedures and reporting mechanisms, unless otherwise informed by the Local Authority. The following principles apply to identifying and responding to those at risk of, or who have undergone FGM: </w:t>
      </w:r>
    </w:p>
    <w:p w14:paraId="1252BD9F" w14:textId="72C8E38B" w:rsidR="009A719F" w:rsidRPr="009A719F" w:rsidRDefault="009A719F" w:rsidP="00196400">
      <w:pPr>
        <w:pStyle w:val="WPBullet"/>
      </w:pPr>
      <w:r w:rsidRPr="009A719F">
        <w:t xml:space="preserve">The safety and welfare of the child </w:t>
      </w:r>
      <w:r w:rsidR="004C2EDA">
        <w:t>are</w:t>
      </w:r>
      <w:r w:rsidRPr="009A719F">
        <w:t xml:space="preserve"> paramount</w:t>
      </w:r>
      <w:r w:rsidR="00AF5118">
        <w:t>.</w:t>
      </w:r>
    </w:p>
    <w:p w14:paraId="0B41443F" w14:textId="31328C53" w:rsidR="009A719F" w:rsidRPr="009A719F" w:rsidRDefault="009A719F" w:rsidP="00196400">
      <w:pPr>
        <w:pStyle w:val="WPBullet"/>
      </w:pPr>
      <w:r w:rsidRPr="009A719F">
        <w:t>All agencies should act in interests of the rights of the child as stated in the United Nations Convention on the Right of the Child (1989)</w:t>
      </w:r>
      <w:r w:rsidR="00AF5118">
        <w:t>.</w:t>
      </w:r>
    </w:p>
    <w:p w14:paraId="61E3E34D" w14:textId="28FFF68C" w:rsidR="009A719F" w:rsidRPr="009A719F" w:rsidRDefault="009A719F" w:rsidP="00196400">
      <w:pPr>
        <w:pStyle w:val="WPBullet"/>
      </w:pPr>
      <w:r w:rsidRPr="009A719F">
        <w:t>FGM is illegal in the UK</w:t>
      </w:r>
      <w:r w:rsidR="00AF5118">
        <w:t>.</w:t>
      </w:r>
    </w:p>
    <w:p w14:paraId="7E93E692" w14:textId="47ED4731" w:rsidR="009A719F" w:rsidRPr="009A719F" w:rsidRDefault="009A719F" w:rsidP="00196400">
      <w:pPr>
        <w:pStyle w:val="WPBullet"/>
      </w:pPr>
      <w:r w:rsidRPr="009A719F">
        <w:t>FGM is an extremely harmful practice, responding to i</w:t>
      </w:r>
      <w:r w:rsidR="004C2EDA">
        <w:t>t</w:t>
      </w:r>
      <w:r w:rsidRPr="009A719F">
        <w:t xml:space="preserve"> cannot be left to personal choice</w:t>
      </w:r>
      <w:r w:rsidR="00AF5118">
        <w:t>.</w:t>
      </w:r>
    </w:p>
    <w:p w14:paraId="0B017AEF" w14:textId="64E51B43" w:rsidR="009A719F" w:rsidRPr="009A719F" w:rsidRDefault="009A719F" w:rsidP="00196400">
      <w:pPr>
        <w:pStyle w:val="WPBullet"/>
      </w:pPr>
      <w:r w:rsidRPr="009A719F">
        <w:t xml:space="preserve">Accessible, high quality and sensitive health education, police, social </w:t>
      </w:r>
      <w:proofErr w:type="gramStart"/>
      <w:r w:rsidRPr="009A719F">
        <w:t>care</w:t>
      </w:r>
      <w:proofErr w:type="gramEnd"/>
      <w:r w:rsidRPr="009A719F">
        <w:t xml:space="preserve"> and voluntary sector services must underpin all interventions</w:t>
      </w:r>
      <w:r w:rsidR="00AF5118">
        <w:t>.</w:t>
      </w:r>
    </w:p>
    <w:p w14:paraId="52D5DB18" w14:textId="5EF521D0" w:rsidR="009A719F" w:rsidRPr="009A719F" w:rsidRDefault="009A719F" w:rsidP="00196400">
      <w:pPr>
        <w:pStyle w:val="WPBullet"/>
      </w:pPr>
      <w:r w:rsidRPr="009A719F">
        <w:lastRenderedPageBreak/>
        <w:t>FGM is often an embedded social norm within communities, engagement with families and their communities play an important role in contributing to ending it</w:t>
      </w:r>
      <w:r w:rsidR="00AF5118">
        <w:t>.</w:t>
      </w:r>
    </w:p>
    <w:p w14:paraId="34FE2156" w14:textId="0FD518A0" w:rsidR="009A719F" w:rsidRPr="009A719F" w:rsidRDefault="009A719F" w:rsidP="00196400">
      <w:pPr>
        <w:pStyle w:val="WPBullet"/>
      </w:pPr>
      <w:r w:rsidRPr="009A719F">
        <w:t>All decisions or plans should be based on high</w:t>
      </w:r>
      <w:r w:rsidR="004C2EDA">
        <w:t>-</w:t>
      </w:r>
      <w:r w:rsidRPr="009A719F">
        <w:t xml:space="preserve">quality assessments, undertaken by suitably trained staff. </w:t>
      </w:r>
    </w:p>
    <w:p w14:paraId="1451A029" w14:textId="77777777" w:rsidR="009A719F" w:rsidRPr="009A719F" w:rsidRDefault="009A719F" w:rsidP="00196400">
      <w:pPr>
        <w:pStyle w:val="WPHeading2"/>
      </w:pPr>
      <w:r w:rsidRPr="009A719F">
        <w:t>Definitions</w:t>
      </w:r>
    </w:p>
    <w:p w14:paraId="0809400C" w14:textId="3B737348" w:rsidR="000A485B" w:rsidRDefault="009A719F" w:rsidP="00196400">
      <w:pPr>
        <w:pStyle w:val="WPParagraph"/>
        <w:rPr>
          <w:rFonts w:eastAsia="Calibri"/>
        </w:rPr>
      </w:pPr>
      <w:r w:rsidRPr="000A485B">
        <w:rPr>
          <w:rFonts w:eastAsia="Calibri"/>
          <w:b/>
          <w:bCs/>
        </w:rPr>
        <w:t>Adult/women</w:t>
      </w:r>
      <w:r w:rsidR="000A485B" w:rsidRPr="000A485B">
        <w:rPr>
          <w:rFonts w:eastAsia="Calibri"/>
          <w:b/>
          <w:bCs/>
        </w:rPr>
        <w:t>:</w:t>
      </w:r>
      <w:r w:rsidR="000A485B">
        <w:rPr>
          <w:rFonts w:eastAsia="Calibri"/>
        </w:rPr>
        <w:t xml:space="preserve"> </w:t>
      </w:r>
      <w:r w:rsidRPr="009A719F">
        <w:rPr>
          <w:rFonts w:eastAsia="Calibri"/>
        </w:rPr>
        <w:t>Adult is defined as a person aged 18 years or ove</w:t>
      </w:r>
      <w:r>
        <w:rPr>
          <w:rFonts w:eastAsia="Calibri"/>
        </w:rPr>
        <w:t>r</w:t>
      </w:r>
      <w:r w:rsidR="000A485B">
        <w:rPr>
          <w:rFonts w:eastAsia="Calibri"/>
        </w:rPr>
        <w:t xml:space="preserve"> </w:t>
      </w:r>
    </w:p>
    <w:p w14:paraId="2110D126" w14:textId="2E005D9D" w:rsidR="000A485B" w:rsidRDefault="009A719F" w:rsidP="00196400">
      <w:pPr>
        <w:pStyle w:val="WPParagraph"/>
        <w:rPr>
          <w:rFonts w:eastAsia="Calibri"/>
        </w:rPr>
      </w:pPr>
      <w:r w:rsidRPr="000A485B">
        <w:rPr>
          <w:rFonts w:eastAsia="Calibri"/>
          <w:b/>
          <w:bCs/>
        </w:rPr>
        <w:t>Child/Girl/Young Person</w:t>
      </w:r>
      <w:r w:rsidR="000A485B" w:rsidRPr="000A485B">
        <w:rPr>
          <w:rFonts w:eastAsia="Calibri"/>
          <w:b/>
          <w:bCs/>
        </w:rPr>
        <w:t>:</w:t>
      </w:r>
      <w:r w:rsidR="000A485B">
        <w:rPr>
          <w:rFonts w:eastAsia="Calibri"/>
        </w:rPr>
        <w:t xml:space="preserve"> </w:t>
      </w:r>
      <w:r w:rsidRPr="009A719F">
        <w:rPr>
          <w:rFonts w:eastAsia="Calibri"/>
        </w:rPr>
        <w:t xml:space="preserve">As defined by the Children Acts 1989 and 2004, </w:t>
      </w:r>
      <w:r w:rsidR="00AF5118">
        <w:rPr>
          <w:rFonts w:eastAsia="Calibri"/>
        </w:rPr>
        <w:t>‘</w:t>
      </w:r>
      <w:r w:rsidRPr="009A719F">
        <w:rPr>
          <w:rFonts w:eastAsia="Calibri"/>
        </w:rPr>
        <w:t>child</w:t>
      </w:r>
      <w:r w:rsidR="00AF5118">
        <w:rPr>
          <w:rFonts w:eastAsia="Calibri"/>
        </w:rPr>
        <w:t>’</w:t>
      </w:r>
      <w:r w:rsidRPr="009A719F">
        <w:rPr>
          <w:rFonts w:eastAsia="Calibri"/>
        </w:rPr>
        <w:t xml:space="preserve"> means a person under the age of 18. This includes young people aged 16 and 17 who are living independently; their status and entitlement to services and protection under the Children Act 1989 is not altered by the fact that they are living independently. </w:t>
      </w:r>
      <w:r w:rsidR="000A485B">
        <w:rPr>
          <w:rFonts w:eastAsia="Calibri"/>
        </w:rPr>
        <w:t xml:space="preserve"> </w:t>
      </w:r>
    </w:p>
    <w:p w14:paraId="1DDF6EBA" w14:textId="5235185E" w:rsidR="009A719F" w:rsidRPr="009A719F" w:rsidRDefault="009A719F" w:rsidP="00196400">
      <w:pPr>
        <w:pStyle w:val="WPParagraph"/>
        <w:rPr>
          <w:rFonts w:eastAsia="Calibri"/>
        </w:rPr>
      </w:pPr>
      <w:r w:rsidRPr="000A485B">
        <w:rPr>
          <w:rFonts w:eastAsia="Calibri"/>
          <w:b/>
          <w:bCs/>
        </w:rPr>
        <w:t>Child Abuse and Neglect</w:t>
      </w:r>
      <w:r w:rsidR="000A485B" w:rsidRPr="000A485B">
        <w:rPr>
          <w:rFonts w:eastAsia="Calibri"/>
          <w:b/>
          <w:bCs/>
        </w:rPr>
        <w:t>:</w:t>
      </w:r>
      <w:r w:rsidR="000A485B">
        <w:rPr>
          <w:rFonts w:eastAsia="Calibri"/>
        </w:rPr>
        <w:t xml:space="preserve"> </w:t>
      </w:r>
      <w:r w:rsidRPr="009A719F">
        <w:rPr>
          <w:rFonts w:eastAsia="Calibri"/>
        </w:rPr>
        <w:t xml:space="preserve">The recognised categories of maltreatment are: </w:t>
      </w:r>
    </w:p>
    <w:p w14:paraId="1FA79EA1" w14:textId="77777777" w:rsidR="009A719F" w:rsidRPr="009A719F" w:rsidRDefault="009A719F" w:rsidP="00196400">
      <w:pPr>
        <w:pStyle w:val="WPBullet"/>
      </w:pPr>
      <w:r w:rsidRPr="009A719F">
        <w:t>Physical abuse</w:t>
      </w:r>
    </w:p>
    <w:p w14:paraId="7C7D3DC8" w14:textId="77777777" w:rsidR="009A719F" w:rsidRPr="009A719F" w:rsidRDefault="009A719F" w:rsidP="00196400">
      <w:pPr>
        <w:pStyle w:val="WPBullet"/>
      </w:pPr>
      <w:r w:rsidRPr="009A719F">
        <w:t xml:space="preserve">Emotional abuse </w:t>
      </w:r>
    </w:p>
    <w:p w14:paraId="6BB823CE" w14:textId="77777777" w:rsidR="009A719F" w:rsidRPr="009A719F" w:rsidRDefault="009A719F" w:rsidP="00196400">
      <w:pPr>
        <w:pStyle w:val="WPBullet"/>
      </w:pPr>
      <w:r w:rsidRPr="009A719F">
        <w:t xml:space="preserve">Sexual Abuse </w:t>
      </w:r>
    </w:p>
    <w:p w14:paraId="1177EABD" w14:textId="77777777" w:rsidR="000A485B" w:rsidRDefault="009A719F" w:rsidP="00196400">
      <w:pPr>
        <w:pStyle w:val="WPBullet"/>
      </w:pPr>
      <w:r w:rsidRPr="009A719F">
        <w:t>Neglect</w:t>
      </w:r>
      <w:r w:rsidR="000A485B">
        <w:t xml:space="preserve"> </w:t>
      </w:r>
    </w:p>
    <w:p w14:paraId="479733EE" w14:textId="114CEBEA" w:rsidR="009A719F" w:rsidRPr="009A719F" w:rsidRDefault="009A719F" w:rsidP="00196400">
      <w:pPr>
        <w:pStyle w:val="WPParagraph"/>
        <w:rPr>
          <w:rFonts w:eastAsia="Calibri"/>
        </w:rPr>
      </w:pPr>
      <w:r w:rsidRPr="000A485B">
        <w:rPr>
          <w:rFonts w:eastAsia="Calibri"/>
          <w:b/>
          <w:bCs/>
        </w:rPr>
        <w:t>Domestic Violence/Abuse</w:t>
      </w:r>
      <w:r w:rsidR="000A485B" w:rsidRPr="000A485B">
        <w:rPr>
          <w:rFonts w:eastAsia="Calibri"/>
          <w:b/>
          <w:bCs/>
        </w:rPr>
        <w:t>:</w:t>
      </w:r>
      <w:r w:rsidR="000A485B">
        <w:rPr>
          <w:rFonts w:eastAsia="Calibri"/>
        </w:rPr>
        <w:t xml:space="preserve"> </w:t>
      </w:r>
      <w:r w:rsidRPr="009A719F">
        <w:rPr>
          <w:rFonts w:eastAsia="Calibri"/>
        </w:rPr>
        <w:t xml:space="preserve">Any incident or pattern of incidents of controlling, coercive or threatening behaviour, violence or abuse between those aged 16 or over who are or have been intimate partners or family members regardless of gender or sexuality. This encompasses, but is not limited to, the following types of abuse: </w:t>
      </w:r>
    </w:p>
    <w:p w14:paraId="0EB010FF" w14:textId="77777777" w:rsidR="009A719F" w:rsidRPr="009A719F" w:rsidRDefault="009A719F" w:rsidP="00196400">
      <w:pPr>
        <w:pStyle w:val="WPBullet"/>
      </w:pPr>
      <w:r w:rsidRPr="009A719F">
        <w:t>Psychological</w:t>
      </w:r>
    </w:p>
    <w:p w14:paraId="1388D0D2" w14:textId="77777777" w:rsidR="009A719F" w:rsidRPr="009A719F" w:rsidRDefault="009A719F" w:rsidP="00196400">
      <w:pPr>
        <w:pStyle w:val="WPBullet"/>
      </w:pPr>
      <w:r w:rsidRPr="009A719F">
        <w:t>Physical</w:t>
      </w:r>
    </w:p>
    <w:p w14:paraId="02BFB506" w14:textId="77777777" w:rsidR="009A719F" w:rsidRPr="009A719F" w:rsidRDefault="009A719F" w:rsidP="00196400">
      <w:pPr>
        <w:pStyle w:val="WPBullet"/>
      </w:pPr>
      <w:r w:rsidRPr="009A719F">
        <w:t>Sexual</w:t>
      </w:r>
    </w:p>
    <w:p w14:paraId="0F906B84" w14:textId="77777777" w:rsidR="009A719F" w:rsidRPr="009A719F" w:rsidRDefault="009A719F" w:rsidP="00196400">
      <w:pPr>
        <w:pStyle w:val="WPBullet"/>
      </w:pPr>
      <w:r w:rsidRPr="009A719F">
        <w:t>Financial</w:t>
      </w:r>
    </w:p>
    <w:p w14:paraId="0E014B47" w14:textId="77777777" w:rsidR="000A485B" w:rsidRDefault="009A719F" w:rsidP="00196400">
      <w:pPr>
        <w:pStyle w:val="WPBullet"/>
      </w:pPr>
      <w:r w:rsidRPr="009A719F">
        <w:t>Emotional</w:t>
      </w:r>
      <w:r w:rsidR="000A485B">
        <w:t xml:space="preserve"> </w:t>
      </w:r>
    </w:p>
    <w:p w14:paraId="7854EB2E" w14:textId="48CA252F" w:rsidR="009A719F" w:rsidRPr="009A719F" w:rsidRDefault="009A719F" w:rsidP="00196400">
      <w:pPr>
        <w:pStyle w:val="WPParagraph"/>
        <w:rPr>
          <w:rFonts w:eastAsia="Calibri"/>
        </w:rPr>
      </w:pPr>
      <w:r w:rsidRPr="009A719F">
        <w:rPr>
          <w:rFonts w:eastAsia="Calibri"/>
        </w:rPr>
        <w:t xml:space="preserve">Controlling behaviour is a range of acts designed to make a person subordinate and dependant by isolating them from sources of support, exploiting their resources, or capacities for personal gain, depriving them of the means needed for independence, resistance or escape and regulating their everyday behaviour. </w:t>
      </w:r>
    </w:p>
    <w:p w14:paraId="6CCF36CC" w14:textId="77777777" w:rsidR="009A719F" w:rsidRPr="009A719F" w:rsidRDefault="009A719F" w:rsidP="00196400">
      <w:pPr>
        <w:pStyle w:val="WPParagraph"/>
        <w:rPr>
          <w:rFonts w:eastAsia="Calibri"/>
        </w:rPr>
      </w:pPr>
      <w:r w:rsidRPr="009A719F">
        <w:rPr>
          <w:rFonts w:eastAsia="Calibri"/>
        </w:rPr>
        <w:t xml:space="preserve">Coercive behaviour is an act or pattern of acts of assault, threats, humiliation and intimidation, or other abuse that is used to harm, punish, or frighten their victim. </w:t>
      </w:r>
    </w:p>
    <w:p w14:paraId="74D1F629" w14:textId="71B702D3" w:rsidR="000A485B" w:rsidRPr="000A485B" w:rsidRDefault="009A719F" w:rsidP="00196400">
      <w:pPr>
        <w:pStyle w:val="WPParagraph"/>
        <w:rPr>
          <w:rFonts w:eastAsia="Calibri"/>
        </w:rPr>
      </w:pPr>
      <w:r w:rsidRPr="009A719F">
        <w:rPr>
          <w:rFonts w:eastAsia="Calibri"/>
        </w:rPr>
        <w:t xml:space="preserve">The </w:t>
      </w:r>
      <w:r w:rsidR="00AF5118">
        <w:rPr>
          <w:rFonts w:eastAsia="Calibri"/>
        </w:rPr>
        <w:t>g</w:t>
      </w:r>
      <w:r w:rsidRPr="009A719F">
        <w:rPr>
          <w:rFonts w:eastAsia="Calibri"/>
        </w:rPr>
        <w:t>overnment definition, which is not a legal definition, includes so</w:t>
      </w:r>
      <w:r w:rsidR="004C2EDA">
        <w:rPr>
          <w:rFonts w:eastAsia="Calibri"/>
        </w:rPr>
        <w:t xml:space="preserve"> </w:t>
      </w:r>
      <w:r w:rsidRPr="009A719F">
        <w:rPr>
          <w:rFonts w:eastAsia="Calibri"/>
        </w:rPr>
        <w:t>called honour</w:t>
      </w:r>
      <w:r w:rsidR="000A485B">
        <w:rPr>
          <w:rFonts w:eastAsia="Calibri"/>
        </w:rPr>
        <w:t>-</w:t>
      </w:r>
      <w:r w:rsidRPr="009A719F">
        <w:rPr>
          <w:rFonts w:eastAsia="Calibri"/>
        </w:rPr>
        <w:t xml:space="preserve">based violence, including FGM and forced marriage. </w:t>
      </w:r>
      <w:r w:rsidR="000A485B">
        <w:rPr>
          <w:rFonts w:eastAsia="Calibri"/>
        </w:rPr>
        <w:t xml:space="preserve"> </w:t>
      </w:r>
    </w:p>
    <w:p w14:paraId="13FE6B8F" w14:textId="760339EB" w:rsidR="009A719F" w:rsidRPr="009A719F" w:rsidRDefault="009A719F" w:rsidP="00196400">
      <w:pPr>
        <w:pStyle w:val="WPHeading2"/>
        <w:rPr>
          <w:lang w:val="en-GB"/>
        </w:rPr>
      </w:pPr>
      <w:r w:rsidRPr="009A719F">
        <w:rPr>
          <w:lang w:val="en-GB"/>
        </w:rPr>
        <w:t>Forced Marriage</w:t>
      </w:r>
    </w:p>
    <w:p w14:paraId="678E4036" w14:textId="4178AAB3" w:rsidR="009A719F" w:rsidRPr="009A719F" w:rsidRDefault="004C2EDA" w:rsidP="00196400">
      <w:pPr>
        <w:pStyle w:val="WPParagraph"/>
        <w:rPr>
          <w:rFonts w:eastAsia="Calibri"/>
        </w:rPr>
      </w:pPr>
      <w:r>
        <w:rPr>
          <w:rFonts w:eastAsia="Calibri"/>
        </w:rPr>
        <w:t>F</w:t>
      </w:r>
      <w:r w:rsidR="009A719F" w:rsidRPr="009A719F">
        <w:rPr>
          <w:rFonts w:eastAsia="Calibri"/>
        </w:rPr>
        <w:t xml:space="preserve">orced marriage in which one or both spouses do not (or, in the case of some adults with learning or physical disabilities, or mental capacity, cannot) consent to the marriage where violence, threats and other forms of coercion </w:t>
      </w:r>
      <w:r>
        <w:rPr>
          <w:rFonts w:eastAsia="Calibri"/>
        </w:rPr>
        <w:t>are</w:t>
      </w:r>
      <w:r w:rsidR="009A719F" w:rsidRPr="009A719F">
        <w:rPr>
          <w:rFonts w:eastAsia="Calibri"/>
        </w:rPr>
        <w:t xml:space="preserve"> involved. Coercion may include emotional force, physical force, or the threat of such force, or financial pressure. </w:t>
      </w:r>
    </w:p>
    <w:p w14:paraId="5742466F" w14:textId="77777777" w:rsidR="009A719F" w:rsidRPr="009A719F" w:rsidRDefault="009A719F" w:rsidP="00196400">
      <w:pPr>
        <w:pStyle w:val="WPHeading2"/>
      </w:pPr>
      <w:r w:rsidRPr="009A719F">
        <w:lastRenderedPageBreak/>
        <w:t xml:space="preserve">What is FGM? </w:t>
      </w:r>
    </w:p>
    <w:p w14:paraId="039F9420" w14:textId="302E0303" w:rsidR="009A719F" w:rsidRPr="009A719F" w:rsidRDefault="009A719F" w:rsidP="00196400">
      <w:pPr>
        <w:pStyle w:val="WPParagraph"/>
        <w:rPr>
          <w:rFonts w:eastAsia="Calibri"/>
        </w:rPr>
      </w:pPr>
      <w:r w:rsidRPr="009A719F">
        <w:rPr>
          <w:rFonts w:eastAsia="Calibri"/>
        </w:rPr>
        <w:t>It is a procedure where the female genital organs are injured or changed and there is no medical reason for the practice. In some cultures, it is a deeply rooted practi</w:t>
      </w:r>
      <w:r w:rsidR="004C2EDA">
        <w:rPr>
          <w:rFonts w:eastAsia="Calibri"/>
        </w:rPr>
        <w:t>s</w:t>
      </w:r>
      <w:r w:rsidRPr="009A719F">
        <w:rPr>
          <w:rFonts w:eastAsia="Calibri"/>
        </w:rPr>
        <w:t xml:space="preserve">e, widely carried out in specific ethnic populations in Africa, parts of the Middle East and Asia. It serves as a complex form of social control of women’s sexual and reproductive rights. While FGM is concentrated in countries around the Atlantic Coast of the Horn of Africa, Iraq and Yemen, it has also been documented in communities in Colombia, Iran, Israel, Oman, India, Pakistan, Malaysia and Saudi Arabia. </w:t>
      </w:r>
    </w:p>
    <w:p w14:paraId="1C0253AA" w14:textId="77777777" w:rsidR="009A719F" w:rsidRPr="009A719F" w:rsidRDefault="009A719F" w:rsidP="00196400">
      <w:pPr>
        <w:pStyle w:val="WPHeading2"/>
      </w:pPr>
      <w:r w:rsidRPr="009A719F">
        <w:t xml:space="preserve">Types of FGM </w:t>
      </w:r>
    </w:p>
    <w:p w14:paraId="2050518A" w14:textId="77777777" w:rsidR="009A719F" w:rsidRPr="009A719F" w:rsidRDefault="009A719F" w:rsidP="00196400">
      <w:pPr>
        <w:pStyle w:val="WPParagraph"/>
        <w:rPr>
          <w:rFonts w:eastAsia="Calibri"/>
        </w:rPr>
      </w:pPr>
      <w:r w:rsidRPr="009A719F">
        <w:rPr>
          <w:rFonts w:eastAsia="Calibri"/>
        </w:rPr>
        <w:t>FGM is classified, by the World Health Organisation (WHO) into four types:</w:t>
      </w:r>
    </w:p>
    <w:p w14:paraId="05F417EC" w14:textId="528BE15B" w:rsidR="009A719F" w:rsidRPr="009A719F" w:rsidRDefault="009A719F" w:rsidP="00196400">
      <w:pPr>
        <w:pStyle w:val="WPBullet"/>
      </w:pPr>
      <w:r w:rsidRPr="009A719F">
        <w:t>TYPE 1 –- Clitoridectomy: Partial or total removal of the clitoris (a small, sensitive and erective part of female genitalia) and in very rare cases, the prepuce (the fold of skin surrounding the clitoris</w:t>
      </w:r>
      <w:proofErr w:type="gramStart"/>
      <w:r w:rsidRPr="009A719F">
        <w:t>);</w:t>
      </w:r>
      <w:proofErr w:type="gramEnd"/>
      <w:r w:rsidRPr="009A719F">
        <w:t xml:space="preserve"> </w:t>
      </w:r>
    </w:p>
    <w:p w14:paraId="2AAEEE66" w14:textId="20F1AD3B" w:rsidR="009A719F" w:rsidRPr="009A719F" w:rsidRDefault="009A719F" w:rsidP="00196400">
      <w:pPr>
        <w:pStyle w:val="WPBullet"/>
      </w:pPr>
      <w:r w:rsidRPr="009A719F">
        <w:t>TYPE 2 – Excision:</w:t>
      </w:r>
      <w:r w:rsidR="000A485B">
        <w:t xml:space="preserve"> </w:t>
      </w:r>
      <w:r w:rsidRPr="009A719F">
        <w:t>Partial or total removal of the clitoris and the labia minora, with or without excision of the labia majora (the labia are the “lips” that surround the vagina</w:t>
      </w:r>
      <w:proofErr w:type="gramStart"/>
      <w:r w:rsidRPr="009A719F">
        <w:t>);</w:t>
      </w:r>
      <w:proofErr w:type="gramEnd"/>
      <w:r w:rsidRPr="009A719F">
        <w:t xml:space="preserve"> </w:t>
      </w:r>
    </w:p>
    <w:p w14:paraId="5C5D0AEE" w14:textId="27E63291" w:rsidR="009A719F" w:rsidRPr="009A719F" w:rsidRDefault="009A719F" w:rsidP="00196400">
      <w:pPr>
        <w:pStyle w:val="WPBullet"/>
      </w:pPr>
      <w:r w:rsidRPr="009A719F">
        <w:t>TYPE 3 – Infibulation:</w:t>
      </w:r>
      <w:r w:rsidR="000A485B">
        <w:t xml:space="preserve"> </w:t>
      </w:r>
      <w:r w:rsidRPr="009A719F">
        <w:t xml:space="preserve">Narrowing of the vaginal opening through the creation of a covering seal. The seal is formed by cutting and repositioning the inner or outer labia, with or without removal of the clitoris; and </w:t>
      </w:r>
    </w:p>
    <w:p w14:paraId="5C3D7871" w14:textId="13287999" w:rsidR="009A719F" w:rsidRPr="009A719F" w:rsidRDefault="009A719F" w:rsidP="00196400">
      <w:pPr>
        <w:pStyle w:val="WPBullet"/>
      </w:pPr>
      <w:r w:rsidRPr="009A719F">
        <w:t>TYPE 4 – Other:</w:t>
      </w:r>
      <w:r w:rsidR="000A485B">
        <w:t xml:space="preserve"> </w:t>
      </w:r>
      <w:r w:rsidRPr="009A719F">
        <w:t xml:space="preserve">All other harmful procedures to the female genitalia for non-medical purposes, </w:t>
      </w:r>
      <w:proofErr w:type="gramStart"/>
      <w:r w:rsidRPr="009A719F">
        <w:t>e.g.</w:t>
      </w:r>
      <w:proofErr w:type="gramEnd"/>
      <w:r w:rsidRPr="009A719F">
        <w:t xml:space="preserve"> pricking, piercing, incising, scraping, and cauterising the genital area. </w:t>
      </w:r>
    </w:p>
    <w:p w14:paraId="3D427BDD" w14:textId="6D5A6488" w:rsidR="009A719F" w:rsidRPr="009A719F" w:rsidRDefault="009A719F" w:rsidP="00196400">
      <w:pPr>
        <w:pStyle w:val="WPParagraph"/>
        <w:rPr>
          <w:rFonts w:eastAsia="Calibri"/>
        </w:rPr>
      </w:pPr>
      <w:r w:rsidRPr="009A719F">
        <w:rPr>
          <w:rFonts w:eastAsia="Calibri"/>
        </w:rPr>
        <w:t xml:space="preserve">Statistics are gathered via NHS services in the UK, who, through their treatment </w:t>
      </w:r>
      <w:r w:rsidR="004C2EDA">
        <w:rPr>
          <w:rFonts w:eastAsia="Calibri"/>
        </w:rPr>
        <w:t>is</w:t>
      </w:r>
      <w:r w:rsidRPr="009A719F">
        <w:rPr>
          <w:rFonts w:eastAsia="Calibri"/>
        </w:rPr>
        <w:t xml:space="preserve"> identified as having had FGM. </w:t>
      </w:r>
    </w:p>
    <w:p w14:paraId="4E711AA4" w14:textId="3FCFB682" w:rsidR="0077521E" w:rsidRPr="009A719F" w:rsidRDefault="009A719F" w:rsidP="00196400">
      <w:pPr>
        <w:pStyle w:val="WPParagraph"/>
        <w:rPr>
          <w:rFonts w:eastAsia="Calibri"/>
        </w:rPr>
      </w:pPr>
      <w:r w:rsidRPr="009A719F">
        <w:rPr>
          <w:rFonts w:eastAsia="Calibri"/>
        </w:rPr>
        <w:t xml:space="preserve">For clarity, the duty to report any FGM alleged abuse, is via the process outlined in Chapter 14 of the Care Act 2014 and the </w:t>
      </w:r>
      <w:r w:rsidR="00AF5118" w:rsidRPr="009A719F">
        <w:rPr>
          <w:rFonts w:eastAsia="Calibri"/>
        </w:rPr>
        <w:t xml:space="preserve">local authority multi-agency </w:t>
      </w:r>
      <w:r w:rsidRPr="009A719F">
        <w:rPr>
          <w:rFonts w:eastAsia="Calibri"/>
        </w:rPr>
        <w:t xml:space="preserve">guidance. The </w:t>
      </w:r>
      <w:r w:rsidR="00AF5118" w:rsidRPr="009A719F">
        <w:rPr>
          <w:rFonts w:eastAsia="Calibri"/>
        </w:rPr>
        <w:t xml:space="preserve">local authority </w:t>
      </w:r>
      <w:r w:rsidRPr="009A719F">
        <w:rPr>
          <w:rFonts w:eastAsia="Calibri"/>
        </w:rPr>
        <w:t xml:space="preserve">will then give explicit guidance as to further steps they would require a provider of services to undertake if any. </w:t>
      </w:r>
    </w:p>
    <w:p w14:paraId="0A50C0A7" w14:textId="77777777" w:rsidR="000A485B" w:rsidRDefault="00B14A79" w:rsidP="000A485B">
      <w:pPr>
        <w:pStyle w:val="WPHeading"/>
      </w:pPr>
      <w:bookmarkStart w:id="1" w:name="_Hlk527965528"/>
      <w:bookmarkStart w:id="2" w:name="_Hlk527548380"/>
      <w:r w:rsidRPr="002E7BED">
        <w:t>Related Policies</w:t>
      </w:r>
      <w:r w:rsidR="000A485B">
        <w:t xml:space="preserve"> </w:t>
      </w:r>
    </w:p>
    <w:p w14:paraId="0BD467F8" w14:textId="096888B2" w:rsidR="009A719F" w:rsidRPr="009A719F" w:rsidRDefault="009A719F" w:rsidP="000A485B">
      <w:pPr>
        <w:pStyle w:val="WPParagraph"/>
        <w:rPr>
          <w:rFonts w:eastAsia="Calibri"/>
        </w:rPr>
      </w:pPr>
      <w:r w:rsidRPr="009A719F">
        <w:rPr>
          <w:rFonts w:eastAsia="Calibri"/>
        </w:rPr>
        <w:t>Adult Safeguarding</w:t>
      </w:r>
    </w:p>
    <w:p w14:paraId="6EA55621" w14:textId="77777777" w:rsidR="009A719F" w:rsidRPr="009A719F" w:rsidRDefault="009A719F" w:rsidP="000A485B">
      <w:pPr>
        <w:pStyle w:val="WPParagraph"/>
        <w:rPr>
          <w:rFonts w:cs="Times New Roman"/>
        </w:rPr>
      </w:pPr>
      <w:r w:rsidRPr="009A719F">
        <w:rPr>
          <w:rFonts w:cs="Times New Roman"/>
        </w:rPr>
        <w:t>Confidentiality</w:t>
      </w:r>
    </w:p>
    <w:p w14:paraId="57E6234D" w14:textId="77777777" w:rsidR="009A719F" w:rsidRPr="009A719F" w:rsidRDefault="009A719F" w:rsidP="000A485B">
      <w:pPr>
        <w:pStyle w:val="WPParagraph"/>
        <w:rPr>
          <w:rFonts w:cs="Times New Roman"/>
        </w:rPr>
      </w:pPr>
      <w:r w:rsidRPr="009A719F">
        <w:rPr>
          <w:rFonts w:cs="Times New Roman"/>
        </w:rPr>
        <w:t>Cyber Security</w:t>
      </w:r>
    </w:p>
    <w:p w14:paraId="32E52FCB" w14:textId="77777777" w:rsidR="009A719F" w:rsidRPr="009A719F" w:rsidRDefault="009A719F" w:rsidP="000A485B">
      <w:pPr>
        <w:pStyle w:val="WPParagraph"/>
        <w:rPr>
          <w:rFonts w:eastAsia="Calibri"/>
        </w:rPr>
      </w:pPr>
      <w:r w:rsidRPr="009A719F">
        <w:rPr>
          <w:rFonts w:eastAsia="Calibri"/>
        </w:rPr>
        <w:t>Data Protection Legislative Framework (GDPR)</w:t>
      </w:r>
    </w:p>
    <w:p w14:paraId="1D674B07" w14:textId="77777777" w:rsidR="009A719F" w:rsidRPr="009A719F" w:rsidRDefault="009A719F" w:rsidP="000A485B">
      <w:pPr>
        <w:pStyle w:val="WPParagraph"/>
        <w:rPr>
          <w:rFonts w:cs="Times New Roman"/>
        </w:rPr>
      </w:pPr>
      <w:r w:rsidRPr="009A719F">
        <w:rPr>
          <w:rFonts w:cs="Times New Roman"/>
        </w:rPr>
        <w:t>Meeting Needs</w:t>
      </w:r>
    </w:p>
    <w:p w14:paraId="1EB5FB93" w14:textId="77777777" w:rsidR="009A719F" w:rsidRPr="009A719F" w:rsidRDefault="009A719F" w:rsidP="000A485B">
      <w:pPr>
        <w:pStyle w:val="WPParagraph"/>
        <w:rPr>
          <w:rFonts w:cs="Times New Roman"/>
        </w:rPr>
      </w:pPr>
      <w:r w:rsidRPr="009A719F">
        <w:rPr>
          <w:rFonts w:cs="Times New Roman"/>
        </w:rPr>
        <w:t>Mental Capacity Act 2005</w:t>
      </w:r>
    </w:p>
    <w:p w14:paraId="4680FA70" w14:textId="77777777" w:rsidR="009A719F" w:rsidRPr="009A719F" w:rsidRDefault="009A719F" w:rsidP="000A485B">
      <w:pPr>
        <w:pStyle w:val="WPParagraph"/>
        <w:rPr>
          <w:rFonts w:cs="Times New Roman"/>
        </w:rPr>
      </w:pPr>
      <w:r w:rsidRPr="009A719F">
        <w:rPr>
          <w:rFonts w:cs="Times New Roman"/>
        </w:rPr>
        <w:t>Notifications</w:t>
      </w:r>
    </w:p>
    <w:p w14:paraId="5D1471D4" w14:textId="77777777" w:rsidR="009A719F" w:rsidRPr="009A719F" w:rsidRDefault="009A719F" w:rsidP="000A485B">
      <w:pPr>
        <w:pStyle w:val="WPParagraph"/>
        <w:rPr>
          <w:rFonts w:cs="Times New Roman"/>
        </w:rPr>
      </w:pPr>
      <w:r w:rsidRPr="009A719F">
        <w:rPr>
          <w:rFonts w:cs="Times New Roman"/>
        </w:rPr>
        <w:t>Position of Trust</w:t>
      </w:r>
    </w:p>
    <w:p w14:paraId="745FB55E" w14:textId="77777777" w:rsidR="009A719F" w:rsidRPr="009A719F" w:rsidRDefault="009A719F" w:rsidP="000A485B">
      <w:pPr>
        <w:pStyle w:val="WPParagraph"/>
        <w:rPr>
          <w:rFonts w:cs="Times New Roman"/>
        </w:rPr>
      </w:pPr>
      <w:r w:rsidRPr="009A719F">
        <w:rPr>
          <w:rFonts w:cs="Times New Roman"/>
        </w:rPr>
        <w:t>Record Keeping</w:t>
      </w:r>
    </w:p>
    <w:p w14:paraId="0093E6A5" w14:textId="77777777" w:rsidR="000A485B" w:rsidRDefault="009A719F" w:rsidP="000A485B">
      <w:pPr>
        <w:pStyle w:val="WPParagraph"/>
        <w:rPr>
          <w:rFonts w:eastAsia="Calibri"/>
        </w:rPr>
      </w:pPr>
      <w:r w:rsidRPr="009A719F">
        <w:rPr>
          <w:rFonts w:eastAsia="Calibri"/>
        </w:rPr>
        <w:t xml:space="preserve">Safeguarding Children in an Adult Setting </w:t>
      </w:r>
      <w:bookmarkEnd w:id="1"/>
      <w:bookmarkEnd w:id="2"/>
      <w:r w:rsidR="000A485B">
        <w:rPr>
          <w:rFonts w:eastAsia="Calibri"/>
        </w:rPr>
        <w:t xml:space="preserve"> </w:t>
      </w:r>
    </w:p>
    <w:p w14:paraId="10C8ACBF" w14:textId="5CE60D2A" w:rsidR="009647C4" w:rsidRDefault="00B86D50" w:rsidP="000A485B">
      <w:pPr>
        <w:pStyle w:val="WPHeading"/>
      </w:pPr>
      <w:r w:rsidRPr="002E7BED">
        <w:lastRenderedPageBreak/>
        <w:t xml:space="preserve">Related </w:t>
      </w:r>
      <w:r>
        <w:t>Guidance</w:t>
      </w:r>
    </w:p>
    <w:p w14:paraId="2F47018C" w14:textId="77777777" w:rsidR="00673E60" w:rsidRDefault="00B86D50" w:rsidP="000A485B">
      <w:pPr>
        <w:pStyle w:val="WPParagraph"/>
        <w:rPr>
          <w:rFonts w:eastAsia="HGGothicM"/>
          <w:b/>
          <w:lang w:bidi="en-US"/>
        </w:rPr>
      </w:pPr>
      <w:r w:rsidRPr="004F4334">
        <w:rPr>
          <w:rFonts w:eastAsia="HGGothicM"/>
          <w:lang w:bidi="en-US"/>
        </w:rPr>
        <w:t xml:space="preserve">Female Genital </w:t>
      </w:r>
      <w:r w:rsidR="004F4334">
        <w:rPr>
          <w:rFonts w:eastAsia="HGGothicM"/>
          <w:lang w:bidi="en-US"/>
        </w:rPr>
        <w:t>M</w:t>
      </w:r>
      <w:r w:rsidRPr="004F4334">
        <w:rPr>
          <w:rFonts w:eastAsia="HGGothicM"/>
          <w:lang w:bidi="en-US"/>
        </w:rPr>
        <w:t>utilation</w:t>
      </w:r>
      <w:r w:rsidR="000A485B">
        <w:rPr>
          <w:rFonts w:eastAsia="HGGothicM"/>
          <w:lang w:bidi="en-US"/>
        </w:rPr>
        <w:t>:</w:t>
      </w:r>
    </w:p>
    <w:p w14:paraId="769ADCB2" w14:textId="5A0310A4" w:rsidR="009647C4" w:rsidRDefault="00000000" w:rsidP="000A485B">
      <w:pPr>
        <w:pStyle w:val="WPParagraph"/>
        <w:rPr>
          <w:rFonts w:eastAsia="HGGothicM"/>
          <w:color w:val="365F91" w:themeColor="accent1" w:themeShade="BF"/>
          <w:lang w:bidi="en-US"/>
        </w:rPr>
      </w:pPr>
      <w:hyperlink r:id="rId13" w:history="1">
        <w:r w:rsidR="00673E60" w:rsidRPr="00CB56D0">
          <w:rPr>
            <w:rStyle w:val="Hyperlink"/>
            <w:rFonts w:eastAsia="HGGothicM"/>
            <w:bCs/>
            <w:lang w:bidi="en-US"/>
          </w:rPr>
          <w:t>https://www.nhs.uk/conditions/female-genital-mutilation-fgm/</w:t>
        </w:r>
      </w:hyperlink>
      <w:r w:rsidR="00B86D50" w:rsidRPr="00715E44">
        <w:rPr>
          <w:rFonts w:eastAsia="HGGothicM"/>
          <w:color w:val="365F91" w:themeColor="accent1" w:themeShade="BF"/>
          <w:lang w:bidi="en-US"/>
        </w:rPr>
        <w:t xml:space="preserve"> </w:t>
      </w:r>
    </w:p>
    <w:p w14:paraId="5844A7C7" w14:textId="77777777" w:rsidR="00673E60" w:rsidRDefault="00B86D50" w:rsidP="000A485B">
      <w:pPr>
        <w:pStyle w:val="WPParagraph"/>
        <w:rPr>
          <w:rFonts w:eastAsia="HGGothicM"/>
          <w:lang w:bidi="en-US"/>
        </w:rPr>
      </w:pPr>
      <w:r w:rsidRPr="004F4334">
        <w:rPr>
          <w:rFonts w:eastAsia="HGGothicM"/>
          <w:lang w:bidi="en-US"/>
        </w:rPr>
        <w:t>Female Genital Mutilation Act 2003</w:t>
      </w:r>
      <w:r w:rsidR="000A485B">
        <w:rPr>
          <w:rFonts w:eastAsia="HGGothicM"/>
          <w:lang w:bidi="en-US"/>
        </w:rPr>
        <w:t>:</w:t>
      </w:r>
    </w:p>
    <w:p w14:paraId="29EAB483" w14:textId="4DCA57F6" w:rsidR="009647C4" w:rsidRDefault="00000000" w:rsidP="000A485B">
      <w:pPr>
        <w:pStyle w:val="WPParagraph"/>
        <w:rPr>
          <w:rFonts w:eastAsia="HGGothicM"/>
          <w:color w:val="FF0000"/>
          <w:lang w:bidi="en-US"/>
        </w:rPr>
      </w:pPr>
      <w:hyperlink r:id="rId14" w:history="1">
        <w:r w:rsidR="00673E60" w:rsidRPr="00CB56D0">
          <w:rPr>
            <w:rStyle w:val="Hyperlink"/>
            <w:rFonts w:eastAsia="HGGothicM"/>
            <w:bCs/>
            <w:lang w:bidi="en-US"/>
          </w:rPr>
          <w:t>https://www.legislation.gov.uk/ukpga/2003/31/contents</w:t>
        </w:r>
      </w:hyperlink>
      <w:r w:rsidR="00B86D50">
        <w:rPr>
          <w:rFonts w:eastAsia="HGGothicM"/>
          <w:color w:val="FF0000"/>
          <w:lang w:bidi="en-US"/>
        </w:rPr>
        <w:t xml:space="preserve"> </w:t>
      </w:r>
    </w:p>
    <w:p w14:paraId="501BF4D8" w14:textId="77777777" w:rsidR="00673E60" w:rsidRDefault="00B86D50" w:rsidP="000A485B">
      <w:pPr>
        <w:pStyle w:val="WPParagraph"/>
        <w:rPr>
          <w:rFonts w:eastAsia="HGGothicM"/>
          <w:lang w:bidi="en-US"/>
        </w:rPr>
      </w:pPr>
      <w:r w:rsidRPr="004F4334">
        <w:rPr>
          <w:rFonts w:eastAsia="HGGothicM"/>
          <w:lang w:bidi="en-US"/>
        </w:rPr>
        <w:t xml:space="preserve">Female Genital Mutilation: </w:t>
      </w:r>
      <w:r w:rsidR="000A485B">
        <w:rPr>
          <w:rFonts w:eastAsia="HGGothicM"/>
          <w:lang w:bidi="en-US"/>
        </w:rPr>
        <w:t>H</w:t>
      </w:r>
      <w:r w:rsidRPr="004F4334">
        <w:rPr>
          <w:rFonts w:eastAsia="HGGothicM"/>
          <w:lang w:bidi="en-US"/>
        </w:rPr>
        <w:t xml:space="preserve">elp and </w:t>
      </w:r>
      <w:r w:rsidR="000A485B">
        <w:rPr>
          <w:rFonts w:eastAsia="HGGothicM"/>
          <w:lang w:bidi="en-US"/>
        </w:rPr>
        <w:t>A</w:t>
      </w:r>
      <w:r w:rsidRPr="004F4334">
        <w:rPr>
          <w:rFonts w:eastAsia="HGGothicM"/>
          <w:lang w:bidi="en-US"/>
        </w:rPr>
        <w:t>dvice</w:t>
      </w:r>
      <w:r w:rsidR="000A485B">
        <w:rPr>
          <w:rFonts w:eastAsia="HGGothicM"/>
          <w:lang w:bidi="en-US"/>
        </w:rPr>
        <w:t>:</w:t>
      </w:r>
    </w:p>
    <w:p w14:paraId="1DAB1666" w14:textId="753071F1" w:rsidR="00B86D50" w:rsidRPr="00715E44" w:rsidRDefault="00000000" w:rsidP="000A485B">
      <w:pPr>
        <w:pStyle w:val="WPParagraph"/>
        <w:rPr>
          <w:rFonts w:eastAsia="HGGothicM"/>
          <w:color w:val="365F91" w:themeColor="accent1" w:themeShade="BF"/>
          <w:lang w:bidi="en-US"/>
        </w:rPr>
      </w:pPr>
      <w:hyperlink r:id="rId15" w:history="1">
        <w:r w:rsidR="00673E60" w:rsidRPr="00CB56D0">
          <w:rPr>
            <w:rStyle w:val="Hyperlink"/>
            <w:rFonts w:eastAsia="HGGothicM"/>
            <w:bCs/>
            <w:lang w:bidi="en-US"/>
          </w:rPr>
          <w:t>https://www.gov.uk/female-genital-mutilation-help-advice</w:t>
        </w:r>
      </w:hyperlink>
      <w:r w:rsidR="00B86D50">
        <w:rPr>
          <w:rFonts w:eastAsia="HGGothicM"/>
          <w:color w:val="FF0000"/>
          <w:lang w:bidi="en-US"/>
        </w:rPr>
        <w:t xml:space="preserve"> </w:t>
      </w:r>
    </w:p>
    <w:p w14:paraId="47871AAD" w14:textId="274B6898" w:rsidR="00B86D50" w:rsidRDefault="00452358" w:rsidP="000A485B">
      <w:pPr>
        <w:pStyle w:val="WPHeading"/>
      </w:pPr>
      <w:r>
        <w:br/>
      </w:r>
      <w:r w:rsidR="00B86D50">
        <w:t>Training Statement</w:t>
      </w:r>
    </w:p>
    <w:p w14:paraId="71B29ED3" w14:textId="22BB2DC0" w:rsidR="000A485B" w:rsidRDefault="000A485B" w:rsidP="000A485B">
      <w:pPr>
        <w:pStyle w:val="Paragraph"/>
        <w:jc w:val="left"/>
        <w:rPr>
          <w:rFonts w:eastAsia="HGGothicM"/>
        </w:rPr>
      </w:pPr>
      <w:bookmarkStart w:id="3" w:name="_Hlk529282654"/>
      <w:bookmarkStart w:id="4" w:name="_Hlk53512270"/>
      <w:bookmarkStart w:id="5" w:name="_Hlk527038464"/>
      <w:bookmarkStart w:id="6"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w:t>
      </w:r>
      <w:bookmarkEnd w:id="3"/>
      <w:bookmarkEnd w:id="4"/>
    </w:p>
    <w:p w14:paraId="2A9C1D9D" w14:textId="77777777" w:rsidR="00C90399" w:rsidRDefault="00C90399" w:rsidP="000A485B">
      <w:pPr>
        <w:pStyle w:val="Paragraph"/>
        <w:jc w:val="left"/>
        <w:rPr>
          <w:rFonts w:eastAsia="HGGothicM"/>
          <w:b/>
        </w:rPr>
      </w:pPr>
    </w:p>
    <w:p w14:paraId="124C6D8C" w14:textId="3BC91712" w:rsidR="00714F20" w:rsidRDefault="007261D9" w:rsidP="00714F20">
      <w:pPr>
        <w:pStyle w:val="WPParagraph"/>
      </w:pPr>
      <w:r>
        <w:t>Date Reviewed: May 2023</w:t>
      </w:r>
    </w:p>
    <w:p w14:paraId="191342C4" w14:textId="2102BAC7" w:rsidR="00714F20" w:rsidRDefault="00714F20" w:rsidP="00714F20">
      <w:pPr>
        <w:pStyle w:val="WPParagraph"/>
      </w:pPr>
      <w:r>
        <w:t xml:space="preserve">Person responsible for updating this policy: </w:t>
      </w:r>
      <w:r w:rsidR="00C90399">
        <w:rPr>
          <w:b/>
          <w:bCs/>
        </w:rPr>
        <w:t>IFEYINWA ODOEMENAM</w:t>
      </w:r>
    </w:p>
    <w:p w14:paraId="12F527CE" w14:textId="4C423E9C" w:rsidR="00714F20" w:rsidRDefault="007261D9" w:rsidP="00714F20">
      <w:pPr>
        <w:pStyle w:val="WPParagraph"/>
      </w:pPr>
      <w:r>
        <w:t>Next Review Date: May 2024</w:t>
      </w:r>
    </w:p>
    <w:p w14:paraId="17DB9637" w14:textId="77777777" w:rsidR="00714F20" w:rsidRDefault="00714F20" w:rsidP="000A485B">
      <w:pPr>
        <w:pStyle w:val="Paragraph"/>
        <w:jc w:val="left"/>
        <w:rPr>
          <w:rFonts w:eastAsia="HGGothicM"/>
          <w:b/>
        </w:rPr>
      </w:pPr>
    </w:p>
    <w:bookmarkEnd w:id="5"/>
    <w:bookmarkEnd w:id="6"/>
    <w:p w14:paraId="5E42BC60" w14:textId="4228D39F" w:rsidR="00980D78" w:rsidRPr="000A485B" w:rsidRDefault="00980D78" w:rsidP="000A485B">
      <w:pPr>
        <w:pStyle w:val="Paragraph"/>
        <w:jc w:val="left"/>
        <w:rPr>
          <w:rFonts w:eastAsia="HGGothicM"/>
          <w:b/>
        </w:rPr>
      </w:pPr>
    </w:p>
    <w:p w14:paraId="4638BD30" w14:textId="77777777" w:rsidR="00C90399" w:rsidRPr="000A485B" w:rsidRDefault="00C90399">
      <w:pPr>
        <w:pStyle w:val="Paragraph"/>
        <w:jc w:val="left"/>
        <w:rPr>
          <w:rFonts w:eastAsia="HGGothicM"/>
          <w:b/>
        </w:rPr>
      </w:pPr>
    </w:p>
    <w:sectPr w:rsidR="00C90399" w:rsidRPr="000A48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E49F" w14:textId="77777777" w:rsidR="002B671F" w:rsidRDefault="002B671F" w:rsidP="00815DED">
      <w:pPr>
        <w:spacing w:after="0" w:line="240" w:lineRule="auto"/>
      </w:pPr>
      <w:r>
        <w:separator/>
      </w:r>
    </w:p>
  </w:endnote>
  <w:endnote w:type="continuationSeparator" w:id="0">
    <w:p w14:paraId="79A0E0CE" w14:textId="77777777" w:rsidR="002B671F" w:rsidRDefault="002B671F"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0743" w14:textId="77777777" w:rsidR="002641B8" w:rsidRDefault="00264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5D7E" w14:textId="77777777" w:rsidR="002641B8" w:rsidRDefault="00264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4552" w14:textId="77777777" w:rsidR="002641B8" w:rsidRDefault="00264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C38E" w14:textId="77777777" w:rsidR="002B671F" w:rsidRDefault="002B671F" w:rsidP="00815DED">
      <w:pPr>
        <w:spacing w:after="0" w:line="240" w:lineRule="auto"/>
      </w:pPr>
      <w:r>
        <w:separator/>
      </w:r>
    </w:p>
  </w:footnote>
  <w:footnote w:type="continuationSeparator" w:id="0">
    <w:p w14:paraId="11ACFAE0" w14:textId="77777777" w:rsidR="002B671F" w:rsidRDefault="002B671F"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57B8" w14:textId="77777777" w:rsidR="002641B8" w:rsidRDefault="00264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16F4" w14:textId="77777777" w:rsidR="002641B8" w:rsidRDefault="00264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4655" w14:textId="77777777" w:rsidR="002641B8" w:rsidRDefault="00264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3"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8"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4"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00"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8"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31"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5"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9"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50"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1"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163"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165"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25537">
    <w:abstractNumId w:val="37"/>
  </w:num>
  <w:num w:numId="2" w16cid:durableId="426118267">
    <w:abstractNumId w:val="177"/>
  </w:num>
  <w:num w:numId="3" w16cid:durableId="305935945">
    <w:abstractNumId w:val="165"/>
  </w:num>
  <w:num w:numId="4" w16cid:durableId="1705128314">
    <w:abstractNumId w:val="138"/>
  </w:num>
  <w:num w:numId="5" w16cid:durableId="1603610867">
    <w:abstractNumId w:val="152"/>
  </w:num>
  <w:num w:numId="6" w16cid:durableId="1228764579">
    <w:abstractNumId w:val="121"/>
  </w:num>
  <w:num w:numId="7" w16cid:durableId="340354852">
    <w:abstractNumId w:val="163"/>
  </w:num>
  <w:num w:numId="8" w16cid:durableId="1159927490">
    <w:abstractNumId w:val="154"/>
  </w:num>
  <w:num w:numId="9" w16cid:durableId="2137602071">
    <w:abstractNumId w:val="4"/>
  </w:num>
  <w:num w:numId="10" w16cid:durableId="1178037171">
    <w:abstractNumId w:val="25"/>
  </w:num>
  <w:num w:numId="11" w16cid:durableId="1928345636">
    <w:abstractNumId w:val="158"/>
  </w:num>
  <w:num w:numId="12" w16cid:durableId="1099066502">
    <w:abstractNumId w:val="183"/>
  </w:num>
  <w:num w:numId="13" w16cid:durableId="1801147667">
    <w:abstractNumId w:val="102"/>
  </w:num>
  <w:num w:numId="14" w16cid:durableId="1977567765">
    <w:abstractNumId w:val="175"/>
  </w:num>
  <w:num w:numId="15" w16cid:durableId="1105810222">
    <w:abstractNumId w:val="146"/>
  </w:num>
  <w:num w:numId="16" w16cid:durableId="943653806">
    <w:abstractNumId w:val="127"/>
  </w:num>
  <w:num w:numId="17" w16cid:durableId="641498957">
    <w:abstractNumId w:val="84"/>
  </w:num>
  <w:num w:numId="18" w16cid:durableId="603926013">
    <w:abstractNumId w:val="143"/>
  </w:num>
  <w:num w:numId="19" w16cid:durableId="1496187086">
    <w:abstractNumId w:val="89"/>
  </w:num>
  <w:num w:numId="20" w16cid:durableId="1464813545">
    <w:abstractNumId w:val="17"/>
  </w:num>
  <w:num w:numId="21" w16cid:durableId="356589206">
    <w:abstractNumId w:val="10"/>
  </w:num>
  <w:num w:numId="22" w16cid:durableId="72316045">
    <w:abstractNumId w:val="184"/>
  </w:num>
  <w:num w:numId="23" w16cid:durableId="1346596502">
    <w:abstractNumId w:val="54"/>
  </w:num>
  <w:num w:numId="24" w16cid:durableId="1543009102">
    <w:abstractNumId w:val="109"/>
  </w:num>
  <w:num w:numId="25" w16cid:durableId="1320499299">
    <w:abstractNumId w:val="104"/>
  </w:num>
  <w:num w:numId="26" w16cid:durableId="572086156">
    <w:abstractNumId w:val="34"/>
  </w:num>
  <w:num w:numId="27" w16cid:durableId="535433849">
    <w:abstractNumId w:val="133"/>
  </w:num>
  <w:num w:numId="28" w16cid:durableId="1667246028">
    <w:abstractNumId w:val="106"/>
  </w:num>
  <w:num w:numId="29" w16cid:durableId="419840155">
    <w:abstractNumId w:val="136"/>
  </w:num>
  <w:num w:numId="30" w16cid:durableId="1911499996">
    <w:abstractNumId w:val="49"/>
  </w:num>
  <w:num w:numId="31" w16cid:durableId="418644394">
    <w:abstractNumId w:val="20"/>
  </w:num>
  <w:num w:numId="32" w16cid:durableId="1058210254">
    <w:abstractNumId w:val="12"/>
  </w:num>
  <w:num w:numId="33" w16cid:durableId="1590700546">
    <w:abstractNumId w:val="126"/>
  </w:num>
  <w:num w:numId="34" w16cid:durableId="312494770">
    <w:abstractNumId w:val="114"/>
  </w:num>
  <w:num w:numId="35" w16cid:durableId="1350790443">
    <w:abstractNumId w:val="131"/>
  </w:num>
  <w:num w:numId="36" w16cid:durableId="1012074030">
    <w:abstractNumId w:val="39"/>
  </w:num>
  <w:num w:numId="37" w16cid:durableId="2053456520">
    <w:abstractNumId w:val="159"/>
  </w:num>
  <w:num w:numId="38" w16cid:durableId="750200617">
    <w:abstractNumId w:val="92"/>
  </w:num>
  <w:num w:numId="39" w16cid:durableId="1900902970">
    <w:abstractNumId w:val="26"/>
  </w:num>
  <w:num w:numId="40" w16cid:durableId="53506804">
    <w:abstractNumId w:val="181"/>
  </w:num>
  <w:num w:numId="41" w16cid:durableId="120809976">
    <w:abstractNumId w:val="90"/>
  </w:num>
  <w:num w:numId="42" w16cid:durableId="613173939">
    <w:abstractNumId w:val="42"/>
  </w:num>
  <w:num w:numId="43" w16cid:durableId="1423339268">
    <w:abstractNumId w:val="173"/>
  </w:num>
  <w:num w:numId="44" w16cid:durableId="245498165">
    <w:abstractNumId w:val="9"/>
  </w:num>
  <w:num w:numId="45" w16cid:durableId="811366477">
    <w:abstractNumId w:val="23"/>
  </w:num>
  <w:num w:numId="46" w16cid:durableId="1396009067">
    <w:abstractNumId w:val="57"/>
  </w:num>
  <w:num w:numId="47" w16cid:durableId="892080836">
    <w:abstractNumId w:val="171"/>
  </w:num>
  <w:num w:numId="48" w16cid:durableId="215624429">
    <w:abstractNumId w:val="22"/>
  </w:num>
  <w:num w:numId="49" w16cid:durableId="285550500">
    <w:abstractNumId w:val="137"/>
  </w:num>
  <w:num w:numId="50" w16cid:durableId="829641279">
    <w:abstractNumId w:val="59"/>
  </w:num>
  <w:num w:numId="51" w16cid:durableId="34744448">
    <w:abstractNumId w:val="60"/>
  </w:num>
  <w:num w:numId="52" w16cid:durableId="1996107919">
    <w:abstractNumId w:val="72"/>
  </w:num>
  <w:num w:numId="53" w16cid:durableId="1108546139">
    <w:abstractNumId w:val="51"/>
  </w:num>
  <w:num w:numId="54" w16cid:durableId="519314246">
    <w:abstractNumId w:val="18"/>
  </w:num>
  <w:num w:numId="55" w16cid:durableId="1858152812">
    <w:abstractNumId w:val="11"/>
  </w:num>
  <w:num w:numId="56" w16cid:durableId="1845127973">
    <w:abstractNumId w:val="30"/>
  </w:num>
  <w:num w:numId="57" w16cid:durableId="685063325">
    <w:abstractNumId w:val="14"/>
  </w:num>
  <w:num w:numId="58" w16cid:durableId="1953894803">
    <w:abstractNumId w:val="75"/>
  </w:num>
  <w:num w:numId="59" w16cid:durableId="1217353186">
    <w:abstractNumId w:val="78"/>
  </w:num>
  <w:num w:numId="60" w16cid:durableId="2030334530">
    <w:abstractNumId w:val="28"/>
  </w:num>
  <w:num w:numId="61" w16cid:durableId="847906391">
    <w:abstractNumId w:val="74"/>
  </w:num>
  <w:num w:numId="62" w16cid:durableId="324629980">
    <w:abstractNumId w:val="58"/>
  </w:num>
  <w:num w:numId="63" w16cid:durableId="2085182300">
    <w:abstractNumId w:val="180"/>
  </w:num>
  <w:num w:numId="64" w16cid:durableId="19550564">
    <w:abstractNumId w:val="147"/>
  </w:num>
  <w:num w:numId="65" w16cid:durableId="463698742">
    <w:abstractNumId w:val="170"/>
  </w:num>
  <w:num w:numId="66" w16cid:durableId="1348751588">
    <w:abstractNumId w:val="79"/>
  </w:num>
  <w:num w:numId="67" w16cid:durableId="458299230">
    <w:abstractNumId w:val="99"/>
  </w:num>
  <w:num w:numId="68" w16cid:durableId="631717025">
    <w:abstractNumId w:val="162"/>
  </w:num>
  <w:num w:numId="69" w16cid:durableId="361324095">
    <w:abstractNumId w:val="130"/>
  </w:num>
  <w:num w:numId="70" w16cid:durableId="693851569">
    <w:abstractNumId w:val="150"/>
  </w:num>
  <w:num w:numId="71" w16cid:durableId="1591234691">
    <w:abstractNumId w:val="116"/>
  </w:num>
  <w:num w:numId="72" w16cid:durableId="569925212">
    <w:abstractNumId w:val="68"/>
  </w:num>
  <w:num w:numId="73" w16cid:durableId="1077166451">
    <w:abstractNumId w:val="129"/>
  </w:num>
  <w:num w:numId="74" w16cid:durableId="885800737">
    <w:abstractNumId w:val="65"/>
  </w:num>
  <w:num w:numId="75" w16cid:durableId="316107277">
    <w:abstractNumId w:val="86"/>
  </w:num>
  <w:num w:numId="76" w16cid:durableId="2080402648">
    <w:abstractNumId w:val="87"/>
  </w:num>
  <w:num w:numId="77" w16cid:durableId="866603228">
    <w:abstractNumId w:val="156"/>
  </w:num>
  <w:num w:numId="78" w16cid:durableId="905918551">
    <w:abstractNumId w:val="35"/>
  </w:num>
  <w:num w:numId="79" w16cid:durableId="818570922">
    <w:abstractNumId w:val="85"/>
  </w:num>
  <w:num w:numId="80" w16cid:durableId="1688020104">
    <w:abstractNumId w:val="31"/>
  </w:num>
  <w:num w:numId="81" w16cid:durableId="1973245079">
    <w:abstractNumId w:val="161"/>
  </w:num>
  <w:num w:numId="82" w16cid:durableId="1074274731">
    <w:abstractNumId w:val="176"/>
  </w:num>
  <w:num w:numId="83" w16cid:durableId="1837379001">
    <w:abstractNumId w:val="48"/>
  </w:num>
  <w:num w:numId="84" w16cid:durableId="1111823922">
    <w:abstractNumId w:val="63"/>
  </w:num>
  <w:num w:numId="85" w16cid:durableId="908880009">
    <w:abstractNumId w:val="82"/>
  </w:num>
  <w:num w:numId="86" w16cid:durableId="1246064506">
    <w:abstractNumId w:val="43"/>
  </w:num>
  <w:num w:numId="87" w16cid:durableId="2047218112">
    <w:abstractNumId w:val="95"/>
  </w:num>
  <w:num w:numId="88" w16cid:durableId="432088124">
    <w:abstractNumId w:val="6"/>
  </w:num>
  <w:num w:numId="89" w16cid:durableId="273757081">
    <w:abstractNumId w:val="45"/>
  </w:num>
  <w:num w:numId="90" w16cid:durableId="1730959352">
    <w:abstractNumId w:val="15"/>
  </w:num>
  <w:num w:numId="91" w16cid:durableId="1587112665">
    <w:abstractNumId w:val="8"/>
  </w:num>
  <w:num w:numId="92" w16cid:durableId="562835680">
    <w:abstractNumId w:val="21"/>
  </w:num>
  <w:num w:numId="93" w16cid:durableId="997999203">
    <w:abstractNumId w:val="105"/>
  </w:num>
  <w:num w:numId="94" w16cid:durableId="1663196756">
    <w:abstractNumId w:val="66"/>
  </w:num>
  <w:num w:numId="95" w16cid:durableId="2015571874">
    <w:abstractNumId w:val="62"/>
  </w:num>
  <w:num w:numId="96" w16cid:durableId="972562552">
    <w:abstractNumId w:val="113"/>
  </w:num>
  <w:num w:numId="97" w16cid:durableId="39399111">
    <w:abstractNumId w:val="179"/>
  </w:num>
  <w:num w:numId="98" w16cid:durableId="1758135210">
    <w:abstractNumId w:val="77"/>
  </w:num>
  <w:num w:numId="99" w16cid:durableId="496728693">
    <w:abstractNumId w:val="108"/>
  </w:num>
  <w:num w:numId="100" w16cid:durableId="108934598">
    <w:abstractNumId w:val="160"/>
  </w:num>
  <w:num w:numId="101" w16cid:durableId="12150210">
    <w:abstractNumId w:val="27"/>
  </w:num>
  <w:num w:numId="102" w16cid:durableId="1784224736">
    <w:abstractNumId w:val="168"/>
  </w:num>
  <w:num w:numId="103" w16cid:durableId="774134907">
    <w:abstractNumId w:val="55"/>
  </w:num>
  <w:num w:numId="104" w16cid:durableId="825128496">
    <w:abstractNumId w:val="124"/>
  </w:num>
  <w:num w:numId="105" w16cid:durableId="1390152391">
    <w:abstractNumId w:val="125"/>
  </w:num>
  <w:num w:numId="106" w16cid:durableId="1463426701">
    <w:abstractNumId w:val="3"/>
  </w:num>
  <w:num w:numId="107" w16cid:durableId="345399284">
    <w:abstractNumId w:val="135"/>
  </w:num>
  <w:num w:numId="108" w16cid:durableId="62798738">
    <w:abstractNumId w:val="5"/>
  </w:num>
  <w:num w:numId="109" w16cid:durableId="784885722">
    <w:abstractNumId w:val="169"/>
  </w:num>
  <w:num w:numId="110" w16cid:durableId="580799557">
    <w:abstractNumId w:val="120"/>
  </w:num>
  <w:num w:numId="111" w16cid:durableId="421725380">
    <w:abstractNumId w:val="67"/>
  </w:num>
  <w:num w:numId="112" w16cid:durableId="1715035933">
    <w:abstractNumId w:val="7"/>
  </w:num>
  <w:num w:numId="113" w16cid:durableId="1472096414">
    <w:abstractNumId w:val="73"/>
  </w:num>
  <w:num w:numId="114" w16cid:durableId="1123156853">
    <w:abstractNumId w:val="46"/>
  </w:num>
  <w:num w:numId="115" w16cid:durableId="2130125252">
    <w:abstractNumId w:val="134"/>
  </w:num>
  <w:num w:numId="116" w16cid:durableId="1387879204">
    <w:abstractNumId w:val="117"/>
  </w:num>
  <w:num w:numId="117" w16cid:durableId="202328833">
    <w:abstractNumId w:val="101"/>
  </w:num>
  <w:num w:numId="118" w16cid:durableId="1913081336">
    <w:abstractNumId w:val="149"/>
  </w:num>
  <w:num w:numId="119" w16cid:durableId="394548422">
    <w:abstractNumId w:val="123"/>
  </w:num>
  <w:num w:numId="120" w16cid:durableId="776019391">
    <w:abstractNumId w:val="103"/>
  </w:num>
  <w:num w:numId="121" w16cid:durableId="2143502980">
    <w:abstractNumId w:val="16"/>
  </w:num>
  <w:num w:numId="122" w16cid:durableId="1083721309">
    <w:abstractNumId w:val="166"/>
  </w:num>
  <w:num w:numId="123" w16cid:durableId="728846860">
    <w:abstractNumId w:val="97"/>
  </w:num>
  <w:num w:numId="124" w16cid:durableId="1425878210">
    <w:abstractNumId w:val="164"/>
  </w:num>
  <w:num w:numId="125" w16cid:durableId="372270684">
    <w:abstractNumId w:val="182"/>
  </w:num>
  <w:num w:numId="126" w16cid:durableId="1644965316">
    <w:abstractNumId w:val="178"/>
  </w:num>
  <w:num w:numId="127" w16cid:durableId="2097092307">
    <w:abstractNumId w:val="98"/>
  </w:num>
  <w:num w:numId="128" w16cid:durableId="1755203541">
    <w:abstractNumId w:val="115"/>
  </w:num>
  <w:num w:numId="129" w16cid:durableId="1698580273">
    <w:abstractNumId w:val="2"/>
  </w:num>
  <w:num w:numId="130" w16cid:durableId="27024928">
    <w:abstractNumId w:val="50"/>
  </w:num>
  <w:num w:numId="131" w16cid:durableId="80638380">
    <w:abstractNumId w:val="81"/>
  </w:num>
  <w:num w:numId="132" w16cid:durableId="1352799228">
    <w:abstractNumId w:val="151"/>
  </w:num>
  <w:num w:numId="133" w16cid:durableId="804201608">
    <w:abstractNumId w:val="112"/>
  </w:num>
  <w:num w:numId="134" w16cid:durableId="2045860741">
    <w:abstractNumId w:val="96"/>
  </w:num>
  <w:num w:numId="135" w16cid:durableId="1076509948">
    <w:abstractNumId w:val="56"/>
  </w:num>
  <w:num w:numId="136" w16cid:durableId="617181527">
    <w:abstractNumId w:val="119"/>
  </w:num>
  <w:num w:numId="137" w16cid:durableId="705758659">
    <w:abstractNumId w:val="128"/>
  </w:num>
  <w:num w:numId="138" w16cid:durableId="593899133">
    <w:abstractNumId w:val="111"/>
  </w:num>
  <w:num w:numId="139" w16cid:durableId="1282571780">
    <w:abstractNumId w:val="122"/>
  </w:num>
  <w:num w:numId="140" w16cid:durableId="1932666017">
    <w:abstractNumId w:val="155"/>
  </w:num>
  <w:num w:numId="141" w16cid:durableId="2025203867">
    <w:abstractNumId w:val="32"/>
  </w:num>
  <w:num w:numId="142" w16cid:durableId="2010282996">
    <w:abstractNumId w:val="139"/>
  </w:num>
  <w:num w:numId="143" w16cid:durableId="2023893472">
    <w:abstractNumId w:val="107"/>
  </w:num>
  <w:num w:numId="144" w16cid:durableId="284773381">
    <w:abstractNumId w:val="140"/>
  </w:num>
  <w:num w:numId="145" w16cid:durableId="1247496926">
    <w:abstractNumId w:val="148"/>
  </w:num>
  <w:num w:numId="146" w16cid:durableId="1495492090">
    <w:abstractNumId w:val="76"/>
  </w:num>
  <w:num w:numId="147" w16cid:durableId="1296982533">
    <w:abstractNumId w:val="19"/>
  </w:num>
  <w:num w:numId="148" w16cid:durableId="628822397">
    <w:abstractNumId w:val="157"/>
  </w:num>
  <w:num w:numId="149" w16cid:durableId="266083393">
    <w:abstractNumId w:val="69"/>
  </w:num>
  <w:num w:numId="150" w16cid:durableId="1100762663">
    <w:abstractNumId w:val="36"/>
  </w:num>
  <w:num w:numId="151" w16cid:durableId="1268582452">
    <w:abstractNumId w:val="132"/>
  </w:num>
  <w:num w:numId="152" w16cid:durableId="1043941743">
    <w:abstractNumId w:val="29"/>
  </w:num>
  <w:num w:numId="153" w16cid:durableId="1911232464">
    <w:abstractNumId w:val="70"/>
  </w:num>
  <w:num w:numId="154" w16cid:durableId="15278462">
    <w:abstractNumId w:val="47"/>
  </w:num>
  <w:num w:numId="155" w16cid:durableId="1612005059">
    <w:abstractNumId w:val="145"/>
  </w:num>
  <w:num w:numId="156" w16cid:durableId="1184825675">
    <w:abstractNumId w:val="0"/>
  </w:num>
  <w:num w:numId="157" w16cid:durableId="327484171">
    <w:abstractNumId w:val="118"/>
  </w:num>
  <w:num w:numId="158" w16cid:durableId="753866923">
    <w:abstractNumId w:val="24"/>
  </w:num>
  <w:num w:numId="159" w16cid:durableId="1755977884">
    <w:abstractNumId w:val="94"/>
  </w:num>
  <w:num w:numId="160" w16cid:durableId="1856840860">
    <w:abstractNumId w:val="100"/>
  </w:num>
  <w:num w:numId="161" w16cid:durableId="543521247">
    <w:abstractNumId w:val="93"/>
  </w:num>
  <w:num w:numId="162" w16cid:durableId="1636451872">
    <w:abstractNumId w:val="61"/>
  </w:num>
  <w:num w:numId="163" w16cid:durableId="1030647280">
    <w:abstractNumId w:val="41"/>
  </w:num>
  <w:num w:numId="164" w16cid:durableId="671840420">
    <w:abstractNumId w:val="167"/>
  </w:num>
  <w:num w:numId="165" w16cid:durableId="705062271">
    <w:abstractNumId w:val="144"/>
  </w:num>
  <w:num w:numId="166" w16cid:durableId="1481070330">
    <w:abstractNumId w:val="71"/>
  </w:num>
  <w:num w:numId="167" w16cid:durableId="1692103803">
    <w:abstractNumId w:val="64"/>
  </w:num>
  <w:num w:numId="168" w16cid:durableId="1606183850">
    <w:abstractNumId w:val="110"/>
  </w:num>
  <w:num w:numId="169" w16cid:durableId="1422481442">
    <w:abstractNumId w:val="91"/>
  </w:num>
  <w:num w:numId="170" w16cid:durableId="1542937391">
    <w:abstractNumId w:val="174"/>
  </w:num>
  <w:num w:numId="171" w16cid:durableId="1248417775">
    <w:abstractNumId w:val="52"/>
  </w:num>
  <w:num w:numId="172" w16cid:durableId="1221289422">
    <w:abstractNumId w:val="38"/>
  </w:num>
  <w:num w:numId="173" w16cid:durableId="905646725">
    <w:abstractNumId w:val="13"/>
  </w:num>
  <w:num w:numId="174" w16cid:durableId="50425982">
    <w:abstractNumId w:val="1"/>
  </w:num>
  <w:num w:numId="175" w16cid:durableId="1566642278">
    <w:abstractNumId w:val="141"/>
  </w:num>
  <w:num w:numId="176" w16cid:durableId="343167405">
    <w:abstractNumId w:val="153"/>
  </w:num>
  <w:num w:numId="177" w16cid:durableId="490222621">
    <w:abstractNumId w:val="172"/>
  </w:num>
  <w:num w:numId="178" w16cid:durableId="1033309830">
    <w:abstractNumId w:val="88"/>
  </w:num>
  <w:num w:numId="179" w16cid:durableId="2046519439">
    <w:abstractNumId w:val="44"/>
  </w:num>
  <w:num w:numId="180" w16cid:durableId="801844460">
    <w:abstractNumId w:val="83"/>
  </w:num>
  <w:num w:numId="181" w16cid:durableId="1426069162">
    <w:abstractNumId w:val="33"/>
  </w:num>
  <w:num w:numId="182" w16cid:durableId="888492855">
    <w:abstractNumId w:val="80"/>
  </w:num>
  <w:num w:numId="183" w16cid:durableId="1645045886">
    <w:abstractNumId w:val="40"/>
  </w:num>
  <w:num w:numId="184" w16cid:durableId="2067296437">
    <w:abstractNumId w:val="53"/>
  </w:num>
  <w:num w:numId="185" w16cid:durableId="1356544364">
    <w:abstractNumId w:val="142"/>
  </w:num>
  <w:num w:numId="186" w16cid:durableId="1458720053">
    <w:abstractNumId w:val="138"/>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N7MwNjUAQnNLcyUdpeDU4uLM/DyQAsNaAAc+MC8sAAAA"/>
  </w:docVars>
  <w:rsids>
    <w:rsidRoot w:val="00B14A79"/>
    <w:rsid w:val="00006F0F"/>
    <w:rsid w:val="00044FA8"/>
    <w:rsid w:val="00056408"/>
    <w:rsid w:val="00076134"/>
    <w:rsid w:val="000902E7"/>
    <w:rsid w:val="00090B3F"/>
    <w:rsid w:val="000912FA"/>
    <w:rsid w:val="000A27A8"/>
    <w:rsid w:val="000A485B"/>
    <w:rsid w:val="000A78A2"/>
    <w:rsid w:val="000B62E7"/>
    <w:rsid w:val="000B6CC5"/>
    <w:rsid w:val="000C7423"/>
    <w:rsid w:val="000D099A"/>
    <w:rsid w:val="000E166B"/>
    <w:rsid w:val="00102BCE"/>
    <w:rsid w:val="00102C21"/>
    <w:rsid w:val="00107F3C"/>
    <w:rsid w:val="0011508C"/>
    <w:rsid w:val="0012003A"/>
    <w:rsid w:val="001306FA"/>
    <w:rsid w:val="00130784"/>
    <w:rsid w:val="001400F3"/>
    <w:rsid w:val="001510E9"/>
    <w:rsid w:val="00151C15"/>
    <w:rsid w:val="0015618E"/>
    <w:rsid w:val="0017060B"/>
    <w:rsid w:val="00171F21"/>
    <w:rsid w:val="0017673F"/>
    <w:rsid w:val="001806EC"/>
    <w:rsid w:val="00184161"/>
    <w:rsid w:val="001870F7"/>
    <w:rsid w:val="00190F90"/>
    <w:rsid w:val="001953E0"/>
    <w:rsid w:val="00196400"/>
    <w:rsid w:val="001A77C9"/>
    <w:rsid w:val="001C2CEF"/>
    <w:rsid w:val="001C4E2E"/>
    <w:rsid w:val="001D4090"/>
    <w:rsid w:val="001D6D62"/>
    <w:rsid w:val="001E1DE6"/>
    <w:rsid w:val="001F10B8"/>
    <w:rsid w:val="001F6BE2"/>
    <w:rsid w:val="00213EAC"/>
    <w:rsid w:val="002144EA"/>
    <w:rsid w:val="0021676D"/>
    <w:rsid w:val="00220017"/>
    <w:rsid w:val="002254C6"/>
    <w:rsid w:val="0023341D"/>
    <w:rsid w:val="00254C5B"/>
    <w:rsid w:val="002641B8"/>
    <w:rsid w:val="002704CE"/>
    <w:rsid w:val="00272638"/>
    <w:rsid w:val="0028436C"/>
    <w:rsid w:val="002902E2"/>
    <w:rsid w:val="002A1DEB"/>
    <w:rsid w:val="002A5B90"/>
    <w:rsid w:val="002A747A"/>
    <w:rsid w:val="002B3B32"/>
    <w:rsid w:val="002B3DB3"/>
    <w:rsid w:val="002B3F4F"/>
    <w:rsid w:val="002B671F"/>
    <w:rsid w:val="002C0981"/>
    <w:rsid w:val="002D1A16"/>
    <w:rsid w:val="002E7BED"/>
    <w:rsid w:val="002F5880"/>
    <w:rsid w:val="003007B1"/>
    <w:rsid w:val="003036C3"/>
    <w:rsid w:val="00307FD1"/>
    <w:rsid w:val="003410F9"/>
    <w:rsid w:val="0034591F"/>
    <w:rsid w:val="003472F9"/>
    <w:rsid w:val="003613E9"/>
    <w:rsid w:val="00367A62"/>
    <w:rsid w:val="003830BF"/>
    <w:rsid w:val="00384C73"/>
    <w:rsid w:val="003914D3"/>
    <w:rsid w:val="0039488C"/>
    <w:rsid w:val="003C26D4"/>
    <w:rsid w:val="003D4883"/>
    <w:rsid w:val="003E628C"/>
    <w:rsid w:val="003E6EB7"/>
    <w:rsid w:val="003F2D6D"/>
    <w:rsid w:val="00407C2A"/>
    <w:rsid w:val="00410DEF"/>
    <w:rsid w:val="00416D23"/>
    <w:rsid w:val="00435AE6"/>
    <w:rsid w:val="00447F61"/>
    <w:rsid w:val="00452358"/>
    <w:rsid w:val="004567D9"/>
    <w:rsid w:val="00460527"/>
    <w:rsid w:val="00474D5E"/>
    <w:rsid w:val="004751AF"/>
    <w:rsid w:val="00494B61"/>
    <w:rsid w:val="004C2EDA"/>
    <w:rsid w:val="004D2A55"/>
    <w:rsid w:val="004D6BBE"/>
    <w:rsid w:val="004F3D5C"/>
    <w:rsid w:val="004F4334"/>
    <w:rsid w:val="0050013C"/>
    <w:rsid w:val="00502F37"/>
    <w:rsid w:val="005041C2"/>
    <w:rsid w:val="00513C46"/>
    <w:rsid w:val="00514D6C"/>
    <w:rsid w:val="00526938"/>
    <w:rsid w:val="00534A00"/>
    <w:rsid w:val="00565EF9"/>
    <w:rsid w:val="0058142B"/>
    <w:rsid w:val="00592E41"/>
    <w:rsid w:val="005D75B8"/>
    <w:rsid w:val="0060155D"/>
    <w:rsid w:val="00604F85"/>
    <w:rsid w:val="00615B25"/>
    <w:rsid w:val="00620F67"/>
    <w:rsid w:val="00630D63"/>
    <w:rsid w:val="00632CF8"/>
    <w:rsid w:val="00673E60"/>
    <w:rsid w:val="006751B3"/>
    <w:rsid w:val="00692145"/>
    <w:rsid w:val="006C57E5"/>
    <w:rsid w:val="006F2B0A"/>
    <w:rsid w:val="006F4B44"/>
    <w:rsid w:val="00700331"/>
    <w:rsid w:val="007003F0"/>
    <w:rsid w:val="00714F20"/>
    <w:rsid w:val="0071593C"/>
    <w:rsid w:val="007261D9"/>
    <w:rsid w:val="00727476"/>
    <w:rsid w:val="00741927"/>
    <w:rsid w:val="007444D4"/>
    <w:rsid w:val="00750926"/>
    <w:rsid w:val="0077521E"/>
    <w:rsid w:val="00790995"/>
    <w:rsid w:val="00795779"/>
    <w:rsid w:val="00797737"/>
    <w:rsid w:val="007A6EBC"/>
    <w:rsid w:val="007A6FE0"/>
    <w:rsid w:val="007B78E9"/>
    <w:rsid w:val="007D0C83"/>
    <w:rsid w:val="007E1479"/>
    <w:rsid w:val="007E24D0"/>
    <w:rsid w:val="007E2C3A"/>
    <w:rsid w:val="007E6121"/>
    <w:rsid w:val="007E6B92"/>
    <w:rsid w:val="007F69DB"/>
    <w:rsid w:val="00805D47"/>
    <w:rsid w:val="00815DED"/>
    <w:rsid w:val="008243B2"/>
    <w:rsid w:val="008304D2"/>
    <w:rsid w:val="0083495E"/>
    <w:rsid w:val="00837102"/>
    <w:rsid w:val="008657B1"/>
    <w:rsid w:val="00865E53"/>
    <w:rsid w:val="00881FAA"/>
    <w:rsid w:val="008826A7"/>
    <w:rsid w:val="008A0587"/>
    <w:rsid w:val="008A40E8"/>
    <w:rsid w:val="008B09F5"/>
    <w:rsid w:val="008E139C"/>
    <w:rsid w:val="008F5B0A"/>
    <w:rsid w:val="009236E8"/>
    <w:rsid w:val="009254DA"/>
    <w:rsid w:val="00931DF0"/>
    <w:rsid w:val="00944872"/>
    <w:rsid w:val="00952167"/>
    <w:rsid w:val="00953B22"/>
    <w:rsid w:val="00954464"/>
    <w:rsid w:val="00955A04"/>
    <w:rsid w:val="00962E1E"/>
    <w:rsid w:val="009647C4"/>
    <w:rsid w:val="00980D78"/>
    <w:rsid w:val="0098221D"/>
    <w:rsid w:val="00985C79"/>
    <w:rsid w:val="00992B06"/>
    <w:rsid w:val="009A6D00"/>
    <w:rsid w:val="009A719F"/>
    <w:rsid w:val="009B5514"/>
    <w:rsid w:val="009C3A84"/>
    <w:rsid w:val="009C5536"/>
    <w:rsid w:val="009D110E"/>
    <w:rsid w:val="009E26CB"/>
    <w:rsid w:val="009E2A8C"/>
    <w:rsid w:val="00A144CA"/>
    <w:rsid w:val="00A22EEF"/>
    <w:rsid w:val="00A3105C"/>
    <w:rsid w:val="00A36801"/>
    <w:rsid w:val="00A5173D"/>
    <w:rsid w:val="00A52C1D"/>
    <w:rsid w:val="00A57EE6"/>
    <w:rsid w:val="00A61A71"/>
    <w:rsid w:val="00A70EB8"/>
    <w:rsid w:val="00A82158"/>
    <w:rsid w:val="00A83F4E"/>
    <w:rsid w:val="00A9522B"/>
    <w:rsid w:val="00AC322B"/>
    <w:rsid w:val="00AD4E95"/>
    <w:rsid w:val="00AD5C8F"/>
    <w:rsid w:val="00AD7838"/>
    <w:rsid w:val="00AE0D8F"/>
    <w:rsid w:val="00AF5118"/>
    <w:rsid w:val="00B00A75"/>
    <w:rsid w:val="00B017F7"/>
    <w:rsid w:val="00B026A1"/>
    <w:rsid w:val="00B0703B"/>
    <w:rsid w:val="00B07B45"/>
    <w:rsid w:val="00B1098C"/>
    <w:rsid w:val="00B1231C"/>
    <w:rsid w:val="00B14A79"/>
    <w:rsid w:val="00B1565B"/>
    <w:rsid w:val="00B228F7"/>
    <w:rsid w:val="00B37497"/>
    <w:rsid w:val="00B4213A"/>
    <w:rsid w:val="00B44665"/>
    <w:rsid w:val="00B5315D"/>
    <w:rsid w:val="00B619B2"/>
    <w:rsid w:val="00B7150E"/>
    <w:rsid w:val="00B86D50"/>
    <w:rsid w:val="00B95E1D"/>
    <w:rsid w:val="00BA6557"/>
    <w:rsid w:val="00BD13D7"/>
    <w:rsid w:val="00BE34DD"/>
    <w:rsid w:val="00BE3FD0"/>
    <w:rsid w:val="00C25DB5"/>
    <w:rsid w:val="00C372B8"/>
    <w:rsid w:val="00C46112"/>
    <w:rsid w:val="00C65EEA"/>
    <w:rsid w:val="00C675F2"/>
    <w:rsid w:val="00C755EA"/>
    <w:rsid w:val="00C75AC0"/>
    <w:rsid w:val="00C7796E"/>
    <w:rsid w:val="00C90399"/>
    <w:rsid w:val="00C946A3"/>
    <w:rsid w:val="00CA4883"/>
    <w:rsid w:val="00CA5AAE"/>
    <w:rsid w:val="00CC38D5"/>
    <w:rsid w:val="00CC4F50"/>
    <w:rsid w:val="00CE45EE"/>
    <w:rsid w:val="00D05F47"/>
    <w:rsid w:val="00D2465B"/>
    <w:rsid w:val="00D3410A"/>
    <w:rsid w:val="00D36979"/>
    <w:rsid w:val="00D36BEE"/>
    <w:rsid w:val="00D47047"/>
    <w:rsid w:val="00D82B0A"/>
    <w:rsid w:val="00D82FF3"/>
    <w:rsid w:val="00D954E9"/>
    <w:rsid w:val="00D96133"/>
    <w:rsid w:val="00D975D4"/>
    <w:rsid w:val="00DA7AE2"/>
    <w:rsid w:val="00DB199D"/>
    <w:rsid w:val="00DE14D5"/>
    <w:rsid w:val="00DE2AB6"/>
    <w:rsid w:val="00DF4654"/>
    <w:rsid w:val="00E1155C"/>
    <w:rsid w:val="00E16EA0"/>
    <w:rsid w:val="00E171DE"/>
    <w:rsid w:val="00E370B6"/>
    <w:rsid w:val="00E44056"/>
    <w:rsid w:val="00E63881"/>
    <w:rsid w:val="00E64EED"/>
    <w:rsid w:val="00E70CC1"/>
    <w:rsid w:val="00E7211F"/>
    <w:rsid w:val="00E74DBD"/>
    <w:rsid w:val="00E80ADC"/>
    <w:rsid w:val="00E87E1C"/>
    <w:rsid w:val="00EB0467"/>
    <w:rsid w:val="00EB049A"/>
    <w:rsid w:val="00EB1520"/>
    <w:rsid w:val="00EE10DC"/>
    <w:rsid w:val="00EE173D"/>
    <w:rsid w:val="00EE2DF2"/>
    <w:rsid w:val="00F103C2"/>
    <w:rsid w:val="00F37840"/>
    <w:rsid w:val="00F43378"/>
    <w:rsid w:val="00F51A86"/>
    <w:rsid w:val="00F563EA"/>
    <w:rsid w:val="00F57767"/>
    <w:rsid w:val="00F60FD7"/>
    <w:rsid w:val="00F86B74"/>
    <w:rsid w:val="00F90B89"/>
    <w:rsid w:val="00F92E3B"/>
    <w:rsid w:val="00F9432F"/>
    <w:rsid w:val="00FA5005"/>
    <w:rsid w:val="00FB04EE"/>
    <w:rsid w:val="00FC4638"/>
    <w:rsid w:val="00FC505D"/>
    <w:rsid w:val="00FD19F1"/>
    <w:rsid w:val="00FF164D"/>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ullet">
    <w:name w:val="W&amp;P Bullet"/>
    <w:basedOn w:val="Normal"/>
    <w:qFormat/>
    <w:rsid w:val="000A485B"/>
    <w:pPr>
      <w:numPr>
        <w:numId w:val="186"/>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0A485B"/>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0A485B"/>
    <w:rPr>
      <w:color w:val="auto"/>
    </w:rPr>
  </w:style>
  <w:style w:type="paragraph" w:customStyle="1" w:styleId="WPHeading3">
    <w:name w:val="W&amp;P Heading 3"/>
    <w:basedOn w:val="WPHeading2"/>
    <w:qFormat/>
    <w:rsid w:val="000A485B"/>
    <w:rPr>
      <w:i/>
    </w:rPr>
  </w:style>
  <w:style w:type="paragraph" w:customStyle="1" w:styleId="WPParagraph">
    <w:name w:val="W&amp;P Paragraph"/>
    <w:basedOn w:val="Normal"/>
    <w:qFormat/>
    <w:rsid w:val="000A485B"/>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0A485B"/>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296372999">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DKHXZA7SSHQN-167323429-701384</_dlc_DocId>
    <_dlc_DocIdUrl xmlns="9daa91de-cd2d-4d57-bbd1-50f17b14a644">
      <Url>https://wandpassessment.sharepoint.com/sites/Data/_layouts/15/DocIdRedir.aspx?ID=DKHXZA7SSHQN-167323429-701384</Url>
      <Description>DKHXZA7SSHQN-167323429-701384</Description>
    </_dlc_DocIdUrl>
  </documentManagement>
</p:properties>
</file>

<file path=customXml/itemProps1.xml><?xml version="1.0" encoding="utf-8"?>
<ds:datastoreItem xmlns:ds="http://schemas.openxmlformats.org/officeDocument/2006/customXml" ds:itemID="{D1E7A03C-F721-4D47-AFA0-5227CD91C698}">
  <ds:schemaRefs>
    <ds:schemaRef ds:uri="http://schemas.openxmlformats.org/officeDocument/2006/bibliography"/>
  </ds:schemaRefs>
</ds:datastoreItem>
</file>

<file path=customXml/itemProps2.xml><?xml version="1.0" encoding="utf-8"?>
<ds:datastoreItem xmlns:ds="http://schemas.openxmlformats.org/officeDocument/2006/customXml" ds:itemID="{13B8A427-64F4-4587-AA5C-619D2AE5B979}">
  <ds:schemaRefs>
    <ds:schemaRef ds:uri="http://schemas.microsoft.com/sharepoint/v3/contenttype/forms"/>
  </ds:schemaRefs>
</ds:datastoreItem>
</file>

<file path=customXml/itemProps3.xml><?xml version="1.0" encoding="utf-8"?>
<ds:datastoreItem xmlns:ds="http://schemas.openxmlformats.org/officeDocument/2006/customXml" ds:itemID="{4D5F14BF-FC31-4AC7-9F85-728BBDA48456}">
  <ds:schemaRefs>
    <ds:schemaRef ds:uri="http://schemas.microsoft.com/sharepoint/events"/>
  </ds:schemaRefs>
</ds:datastoreItem>
</file>

<file path=customXml/itemProps4.xml><?xml version="1.0" encoding="utf-8"?>
<ds:datastoreItem xmlns:ds="http://schemas.openxmlformats.org/officeDocument/2006/customXml" ds:itemID="{CFDCC294-3571-473E-A5DC-DA71F09D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B465EF-10B9-44B9-A404-DFD95395A891}">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2023-07-25T09:59:00Z</dcterms:created>
  <dcterms:modified xsi:type="dcterms:W3CDTF">2023-07-25T09:59:00Z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5567400</vt:r8>
  </property>
  <property fmtid="{D5CDD505-2E9C-101B-9397-08002B2CF9AE}" pid="4" name="_dlc_DocIdItemGuid">
    <vt:lpwstr>14287398-b272-4281-b5cd-b2ff02635775</vt:lpwstr>
  </property>
  <property fmtid="{D5CDD505-2E9C-101B-9397-08002B2CF9AE}" pid="5" name="MediaServiceImageTags">
    <vt:lpwstr/>
  </property>
</Properties>
</file>