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F0EE" w14:textId="77777777" w:rsidR="00385044" w:rsidRDefault="00385044" w:rsidP="00F5716D">
      <w:pPr>
        <w:keepNext/>
        <w:keepLines/>
        <w:spacing w:after="0" w:line="240" w:lineRule="auto"/>
        <w:jc w:val="center"/>
        <w:outlineLvl w:val="0"/>
        <w:rPr>
          <w:rFonts w:ascii="Arial" w:eastAsia="Times New Roman" w:hAnsi="Arial" w:cs="Times New Roman"/>
          <w:b/>
          <w:bCs/>
          <w:sz w:val="28"/>
          <w:szCs w:val="28"/>
          <w:lang w:val="en-GB"/>
        </w:rPr>
      </w:pPr>
      <w:bookmarkStart w:id="0" w:name="_Hlk50033664"/>
    </w:p>
    <w:p w14:paraId="4090A09E" w14:textId="7221A1BD" w:rsidR="00385044" w:rsidRDefault="00385044" w:rsidP="00385044">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59264" behindDoc="1" locked="0" layoutInCell="1" allowOverlap="1" wp14:anchorId="29F1E951" wp14:editId="1C97443D">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299595317"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595317"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076E9F39" w14:textId="77777777" w:rsidR="00385044" w:rsidRDefault="00385044" w:rsidP="00385044">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1AA12527" w14:textId="77777777" w:rsidR="00385044" w:rsidRDefault="00385044" w:rsidP="00F5716D">
      <w:pPr>
        <w:keepNext/>
        <w:keepLines/>
        <w:spacing w:after="0" w:line="240" w:lineRule="auto"/>
        <w:jc w:val="center"/>
        <w:outlineLvl w:val="0"/>
        <w:rPr>
          <w:rFonts w:ascii="Arial" w:eastAsia="Times New Roman" w:hAnsi="Arial" w:cs="Times New Roman"/>
          <w:b/>
          <w:bCs/>
          <w:sz w:val="28"/>
          <w:szCs w:val="28"/>
          <w:lang w:val="en-GB"/>
        </w:rPr>
      </w:pPr>
    </w:p>
    <w:p w14:paraId="09F83C66" w14:textId="0F46B7BD" w:rsidR="00410DEF" w:rsidRPr="009236E8" w:rsidRDefault="009B5C12" w:rsidP="00F5716D">
      <w:pPr>
        <w:keepNext/>
        <w:keepLines/>
        <w:spacing w:after="0" w:line="240" w:lineRule="auto"/>
        <w:jc w:val="center"/>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t>REABLEMENT</w:t>
      </w:r>
    </w:p>
    <w:p w14:paraId="42C6E9DA" w14:textId="703A47AE" w:rsidR="00A61A71" w:rsidRDefault="00B14A79" w:rsidP="00526A9A">
      <w:pPr>
        <w:pStyle w:val="WPHeading"/>
      </w:pPr>
      <w:r w:rsidRPr="00B14A79">
        <w:t>Scope</w:t>
      </w:r>
    </w:p>
    <w:p w14:paraId="3FE92DFE" w14:textId="23012A83" w:rsidR="00B7150E" w:rsidRDefault="00B7150E" w:rsidP="00526A9A">
      <w:pPr>
        <w:pStyle w:val="WPBullet"/>
        <w:rPr>
          <w:lang w:bidi="en-US"/>
        </w:rPr>
      </w:pPr>
      <w:r>
        <w:rPr>
          <w:lang w:bidi="en-US"/>
        </w:rPr>
        <w:t>Policy Statement</w:t>
      </w:r>
    </w:p>
    <w:p w14:paraId="21E3EA7C" w14:textId="671172AD" w:rsidR="00B7150E" w:rsidRPr="00526A9A" w:rsidRDefault="00B7150E" w:rsidP="00526A9A">
      <w:pPr>
        <w:pStyle w:val="WPBullet"/>
        <w:rPr>
          <w:b/>
          <w:bCs/>
          <w:lang w:bidi="en-US"/>
        </w:rPr>
      </w:pPr>
      <w:r w:rsidRPr="00526A9A">
        <w:rPr>
          <w:b/>
          <w:bCs/>
          <w:lang w:bidi="en-US"/>
        </w:rPr>
        <w:t>The Policy</w:t>
      </w:r>
    </w:p>
    <w:p w14:paraId="23694033" w14:textId="49791996" w:rsidR="0083495E" w:rsidRPr="0083495E" w:rsidRDefault="00156F55" w:rsidP="00526A9A">
      <w:pPr>
        <w:pStyle w:val="WPBullet"/>
        <w:rPr>
          <w:lang w:bidi="en-US"/>
        </w:rPr>
      </w:pPr>
      <w:r>
        <w:rPr>
          <w:lang w:bidi="en-US"/>
        </w:rPr>
        <w:t>What is Reablement</w:t>
      </w:r>
      <w:r w:rsidR="00526A9A">
        <w:rPr>
          <w:lang w:bidi="en-US"/>
        </w:rPr>
        <w:t>?</w:t>
      </w:r>
    </w:p>
    <w:p w14:paraId="44814A18" w14:textId="58E9AE81" w:rsidR="0083495E" w:rsidRPr="0083495E" w:rsidRDefault="00156F55" w:rsidP="00526A9A">
      <w:pPr>
        <w:pStyle w:val="WPBullet"/>
        <w:rPr>
          <w:lang w:bidi="en-US"/>
        </w:rPr>
      </w:pPr>
      <w:r>
        <w:rPr>
          <w:lang w:bidi="en-US"/>
        </w:rPr>
        <w:t>The Reablement Team</w:t>
      </w:r>
    </w:p>
    <w:p w14:paraId="0C7CADC1" w14:textId="07A9ED70" w:rsidR="0083495E" w:rsidRDefault="00156F55" w:rsidP="00526A9A">
      <w:pPr>
        <w:pStyle w:val="WPBullet"/>
        <w:rPr>
          <w:lang w:bidi="en-US"/>
        </w:rPr>
      </w:pPr>
      <w:r>
        <w:rPr>
          <w:lang w:bidi="en-US"/>
        </w:rPr>
        <w:t>Assessment</w:t>
      </w:r>
    </w:p>
    <w:p w14:paraId="1D068D60" w14:textId="14926C78" w:rsidR="00156F55" w:rsidRPr="0083495E" w:rsidRDefault="00156F55" w:rsidP="00526A9A">
      <w:pPr>
        <w:pStyle w:val="WPBullet"/>
        <w:rPr>
          <w:lang w:bidi="en-US"/>
        </w:rPr>
      </w:pPr>
      <w:r>
        <w:rPr>
          <w:lang w:bidi="en-US"/>
        </w:rPr>
        <w:t>Support Plan</w:t>
      </w:r>
    </w:p>
    <w:p w14:paraId="6CE0DEDF" w14:textId="3815664E" w:rsidR="00B7150E" w:rsidRPr="00526A9A" w:rsidRDefault="00B7150E" w:rsidP="00526A9A">
      <w:pPr>
        <w:pStyle w:val="WPBullet"/>
        <w:rPr>
          <w:b/>
          <w:bCs/>
          <w:lang w:bidi="en-US"/>
        </w:rPr>
      </w:pPr>
      <w:r w:rsidRPr="00526A9A">
        <w:rPr>
          <w:b/>
          <w:bCs/>
          <w:lang w:bidi="en-US"/>
        </w:rPr>
        <w:t>Related Policies</w:t>
      </w:r>
    </w:p>
    <w:p w14:paraId="4144DE55" w14:textId="780BAA6A" w:rsidR="00B7150E" w:rsidRPr="00526A9A" w:rsidRDefault="00B7150E" w:rsidP="00526A9A">
      <w:pPr>
        <w:pStyle w:val="WPBullet"/>
        <w:rPr>
          <w:b/>
          <w:bCs/>
          <w:lang w:bidi="en-US"/>
        </w:rPr>
      </w:pPr>
      <w:r w:rsidRPr="00526A9A">
        <w:rPr>
          <w:b/>
          <w:bCs/>
          <w:lang w:bidi="en-US"/>
        </w:rPr>
        <w:t>Related Guidance</w:t>
      </w:r>
    </w:p>
    <w:p w14:paraId="12921414" w14:textId="77777777" w:rsidR="00526A9A" w:rsidRPr="00526A9A" w:rsidRDefault="00B7150E" w:rsidP="00526A9A">
      <w:pPr>
        <w:pStyle w:val="WPBullet"/>
        <w:rPr>
          <w:b/>
          <w:bCs/>
          <w:lang w:bidi="en-US"/>
        </w:rPr>
      </w:pPr>
      <w:r w:rsidRPr="00526A9A">
        <w:rPr>
          <w:b/>
          <w:bCs/>
          <w:lang w:bidi="en-US"/>
        </w:rPr>
        <w:t>Training Statement</w:t>
      </w:r>
    </w:p>
    <w:p w14:paraId="40073288" w14:textId="4A7F594F" w:rsidR="00B7150E" w:rsidRDefault="00B7150E" w:rsidP="00526A9A">
      <w:pPr>
        <w:pStyle w:val="WPHeading"/>
      </w:pPr>
      <w:r>
        <w:t>Policy Statement</w:t>
      </w:r>
    </w:p>
    <w:p w14:paraId="12712293" w14:textId="353A8800" w:rsidR="00681B58" w:rsidRDefault="00681B58" w:rsidP="00526A9A">
      <w:pPr>
        <w:pStyle w:val="WPParagraph"/>
      </w:pPr>
      <w:r>
        <w:t>Reablement has been defined as services for people with poor physical or mental health to help them accommodate their illness by learning or re-learning the skills necessary for daily living. Reablement is often the approach taken when people are discharged from hospital or recovering from severe illness at home and it is usually a time</w:t>
      </w:r>
      <w:r w:rsidR="00ED4294">
        <w:t>-</w:t>
      </w:r>
      <w:r>
        <w:t>limited approach to reduce the need for longer</w:t>
      </w:r>
      <w:r w:rsidR="00ED4294">
        <w:t>-</w:t>
      </w:r>
      <w:r>
        <w:t>term interventions that can promote dependence on services.</w:t>
      </w:r>
    </w:p>
    <w:p w14:paraId="008068F2" w14:textId="77777777" w:rsidR="00681B58" w:rsidRPr="00591589" w:rsidRDefault="00681B58" w:rsidP="00526A9A">
      <w:pPr>
        <w:pStyle w:val="WPParagraph"/>
      </w:pPr>
    </w:p>
    <w:p w14:paraId="63E9B357" w14:textId="30908F51" w:rsidR="00156F55" w:rsidRPr="00591589" w:rsidRDefault="00681B58" w:rsidP="00526A9A">
      <w:pPr>
        <w:pStyle w:val="WPParagraph"/>
      </w:pPr>
      <w:r>
        <w:t>This organisatio</w:t>
      </w:r>
      <w:r w:rsidR="00ED4294">
        <w:t>n</w:t>
      </w:r>
      <w:r>
        <w:t xml:space="preserve"> is commit</w:t>
      </w:r>
      <w:r w:rsidR="00ED4294">
        <w:t>t</w:t>
      </w:r>
      <w:r>
        <w:t xml:space="preserve">ed to </w:t>
      </w:r>
      <w:r w:rsidR="00156F55" w:rsidRPr="00512AE7">
        <w:t>empowering people to do things for themselves rather than having things done for them</w:t>
      </w:r>
      <w:r>
        <w:t>. T</w:t>
      </w:r>
      <w:r w:rsidR="00156F55" w:rsidRPr="00512AE7">
        <w:t>raditional homecare</w:t>
      </w:r>
      <w:r>
        <w:t xml:space="preserve"> models can lead to dependence and long term reliance on care services</w:t>
      </w:r>
      <w:r w:rsidR="00156F55" w:rsidRPr="00512AE7">
        <w:t>.</w:t>
      </w:r>
      <w:r w:rsidR="00156F55" w:rsidRPr="00591589">
        <w:t xml:space="preserve"> </w:t>
      </w:r>
      <w:r w:rsidR="00156F55" w:rsidRPr="00512AE7">
        <w:t xml:space="preserve">The use of a reablement approach, and subsequent interventions, can ultimately result in reducing or preventing the need for traditional homecare. </w:t>
      </w:r>
    </w:p>
    <w:p w14:paraId="3F0150B0" w14:textId="77777777" w:rsidR="00526A9A" w:rsidRDefault="00B14A79" w:rsidP="00526A9A">
      <w:pPr>
        <w:pStyle w:val="WPHeading"/>
      </w:pPr>
      <w:r w:rsidRPr="002E7BED">
        <w:t>The Policy</w:t>
      </w:r>
    </w:p>
    <w:p w14:paraId="52C2A879" w14:textId="1590ADAD" w:rsidR="00156F55" w:rsidRPr="00100DFF" w:rsidRDefault="00156F55" w:rsidP="00E94F7B">
      <w:pPr>
        <w:pStyle w:val="WPHeading2"/>
        <w:spacing w:before="0"/>
      </w:pPr>
      <w:r w:rsidRPr="00100DFF">
        <w:t xml:space="preserve">What is </w:t>
      </w:r>
      <w:proofErr w:type="spellStart"/>
      <w:r>
        <w:t>R</w:t>
      </w:r>
      <w:r w:rsidRPr="00100DFF">
        <w:t>eablement</w:t>
      </w:r>
      <w:proofErr w:type="spellEnd"/>
      <w:r w:rsidR="00526A9A">
        <w:t>?</w:t>
      </w:r>
    </w:p>
    <w:p w14:paraId="10C61B2D" w14:textId="7ACB2E5C" w:rsidR="00156F55" w:rsidRPr="00591589" w:rsidRDefault="00156F55" w:rsidP="00526A9A">
      <w:pPr>
        <w:pStyle w:val="WPParagraph"/>
      </w:pPr>
      <w:r w:rsidRPr="00591589">
        <w:t>Reablement is a strengths-based, person-centred approach that promotes and maximises independence and wellbeing. It aims to ensure positive change using user-defined goals and is designed to enable people to gain, or regain, their confidence, ability, and necessary skills to live as independently as possible, especially after an illness, deterioration in health or injury</w:t>
      </w:r>
      <w:r w:rsidR="00526A9A">
        <w:t xml:space="preserve">. Reablement is: </w:t>
      </w:r>
    </w:p>
    <w:p w14:paraId="692031EE" w14:textId="5FBE81A5" w:rsidR="00156F55" w:rsidRPr="00526A9A" w:rsidRDefault="00156F55" w:rsidP="00526A9A">
      <w:pPr>
        <w:pStyle w:val="WPBullet"/>
        <w:rPr>
          <w:b/>
          <w:bCs/>
        </w:rPr>
      </w:pPr>
      <w:r w:rsidRPr="00526A9A">
        <w:rPr>
          <w:b/>
          <w:bCs/>
        </w:rPr>
        <w:t>Personalised</w:t>
      </w:r>
      <w:r w:rsidR="00526A9A" w:rsidRPr="00526A9A">
        <w:rPr>
          <w:b/>
          <w:bCs/>
        </w:rPr>
        <w:t xml:space="preserve">: </w:t>
      </w:r>
      <w:r w:rsidR="00526A9A" w:rsidRPr="00526A9A">
        <w:t>p</w:t>
      </w:r>
      <w:r w:rsidRPr="00526A9A">
        <w:t>eople have a choice and control over their care plan</w:t>
      </w:r>
      <w:r w:rsidR="00526A9A">
        <w:t>.</w:t>
      </w:r>
    </w:p>
    <w:p w14:paraId="110AF760" w14:textId="2A808B75" w:rsidR="00156F55" w:rsidRPr="00526A9A" w:rsidRDefault="00156F55" w:rsidP="00526A9A">
      <w:pPr>
        <w:pStyle w:val="WPBullet"/>
        <w:rPr>
          <w:b/>
          <w:bCs/>
        </w:rPr>
      </w:pPr>
      <w:r w:rsidRPr="00526A9A">
        <w:rPr>
          <w:b/>
          <w:bCs/>
        </w:rPr>
        <w:t>Independence-orientated</w:t>
      </w:r>
      <w:r w:rsidR="00526A9A" w:rsidRPr="00526A9A">
        <w:rPr>
          <w:b/>
          <w:bCs/>
        </w:rPr>
        <w:t xml:space="preserve">: </w:t>
      </w:r>
      <w:r w:rsidR="00526A9A">
        <w:t>s</w:t>
      </w:r>
      <w:r w:rsidRPr="00526A9A">
        <w:t>upports people to maintain daily activities and connect with communities, friends</w:t>
      </w:r>
      <w:r w:rsidR="00526A9A" w:rsidRPr="00526A9A">
        <w:t xml:space="preserve"> </w:t>
      </w:r>
      <w:r w:rsidRPr="00526A9A">
        <w:t>and families</w:t>
      </w:r>
      <w:r w:rsidR="00526A9A">
        <w:t>.</w:t>
      </w:r>
    </w:p>
    <w:p w14:paraId="3C85575C" w14:textId="2072CC4A" w:rsidR="00156F55" w:rsidRPr="00526A9A" w:rsidRDefault="00156F55" w:rsidP="00526A9A">
      <w:pPr>
        <w:pStyle w:val="WPBullet"/>
      </w:pPr>
      <w:r w:rsidRPr="00526A9A">
        <w:rPr>
          <w:b/>
          <w:bCs/>
        </w:rPr>
        <w:t>Strengths-based</w:t>
      </w:r>
      <w:r w:rsidR="00526A9A" w:rsidRPr="00526A9A">
        <w:rPr>
          <w:b/>
          <w:bCs/>
        </w:rPr>
        <w:t>:</w:t>
      </w:r>
      <w:r w:rsidR="00526A9A" w:rsidRPr="00526A9A">
        <w:t xml:space="preserve"> </w:t>
      </w:r>
      <w:r w:rsidR="00526A9A">
        <w:t>d</w:t>
      </w:r>
      <w:r w:rsidRPr="00526A9A">
        <w:t>raws on an individual’s strengths and assets</w:t>
      </w:r>
      <w:r w:rsidR="00526A9A">
        <w:t>.</w:t>
      </w:r>
    </w:p>
    <w:p w14:paraId="44EE3884" w14:textId="04B39EAC" w:rsidR="00156F55" w:rsidRPr="00526A9A" w:rsidRDefault="00156F55" w:rsidP="00526A9A">
      <w:pPr>
        <w:pStyle w:val="WPBullet"/>
        <w:rPr>
          <w:b/>
          <w:bCs/>
        </w:rPr>
      </w:pPr>
      <w:r w:rsidRPr="00526A9A">
        <w:rPr>
          <w:b/>
          <w:bCs/>
        </w:rPr>
        <w:t>Outcome-focused</w:t>
      </w:r>
      <w:r w:rsidR="00526A9A" w:rsidRPr="00526A9A">
        <w:rPr>
          <w:b/>
          <w:bCs/>
        </w:rPr>
        <w:t xml:space="preserve">: </w:t>
      </w:r>
      <w:r w:rsidR="00526A9A">
        <w:t>w</w:t>
      </w:r>
      <w:r w:rsidRPr="00526A9A">
        <w:t>hat goals the person is working towards</w:t>
      </w:r>
      <w:r w:rsidR="00526A9A" w:rsidRPr="00526A9A">
        <w:t>?</w:t>
      </w:r>
    </w:p>
    <w:p w14:paraId="5EBD5AD7" w14:textId="5B676234" w:rsidR="00526A9A" w:rsidRPr="00526A9A" w:rsidRDefault="00156F55" w:rsidP="00526A9A">
      <w:pPr>
        <w:pStyle w:val="WPBullet"/>
        <w:rPr>
          <w:b/>
          <w:bCs/>
        </w:rPr>
      </w:pPr>
      <w:r w:rsidRPr="00526A9A">
        <w:rPr>
          <w:b/>
          <w:bCs/>
        </w:rPr>
        <w:t>Risk Aware</w:t>
      </w:r>
      <w:r w:rsidR="00526A9A" w:rsidRPr="00526A9A">
        <w:rPr>
          <w:b/>
          <w:bCs/>
        </w:rPr>
        <w:t xml:space="preserve">: </w:t>
      </w:r>
      <w:r w:rsidR="00526A9A">
        <w:t>w</w:t>
      </w:r>
      <w:r w:rsidRPr="00526A9A">
        <w:t>illing to prepare for potential risks</w:t>
      </w:r>
      <w:r w:rsidR="00526A9A" w:rsidRPr="00526A9A">
        <w:t>.</w:t>
      </w:r>
    </w:p>
    <w:p w14:paraId="3CA86A51" w14:textId="21233538" w:rsidR="00156F55" w:rsidRPr="00591589" w:rsidRDefault="00156F55" w:rsidP="00526A9A">
      <w:pPr>
        <w:pStyle w:val="WPHeading2"/>
      </w:pPr>
      <w:r w:rsidRPr="00591589">
        <w:lastRenderedPageBreak/>
        <w:t xml:space="preserve">The </w:t>
      </w:r>
      <w:proofErr w:type="spellStart"/>
      <w:r w:rsidRPr="00591589">
        <w:t>Reablement</w:t>
      </w:r>
      <w:proofErr w:type="spellEnd"/>
      <w:r w:rsidRPr="00591589">
        <w:t xml:space="preserve"> </w:t>
      </w:r>
      <w:r>
        <w:t>T</w:t>
      </w:r>
      <w:r w:rsidRPr="00591589">
        <w:t>eam</w:t>
      </w:r>
    </w:p>
    <w:p w14:paraId="24036A36" w14:textId="77777777" w:rsidR="00156F55" w:rsidRPr="00591589" w:rsidRDefault="00156F55" w:rsidP="00526A9A">
      <w:pPr>
        <w:pStyle w:val="WPParagraph"/>
      </w:pPr>
      <w:r w:rsidRPr="00591589">
        <w:t>The reablement team often consists of reablement assessors, reablement support workers and occupational therapists. However, in some areas, other disciplines such as physiotherapy may also be included. Staff skills and knowledge of reablement principles are regarded as key to successful reablement.</w:t>
      </w:r>
    </w:p>
    <w:p w14:paraId="320E69B7" w14:textId="77777777" w:rsidR="00156F55" w:rsidRPr="00707D3B" w:rsidRDefault="00156F55" w:rsidP="00526A9A">
      <w:pPr>
        <w:pStyle w:val="WPHeading2"/>
      </w:pPr>
      <w:r w:rsidRPr="00707D3B">
        <w:t>Assessment</w:t>
      </w:r>
    </w:p>
    <w:p w14:paraId="6DFA71FC" w14:textId="02EC7D81" w:rsidR="00156F55" w:rsidRPr="00591589" w:rsidRDefault="00156F55" w:rsidP="00526A9A">
      <w:pPr>
        <w:pStyle w:val="WPParagraph"/>
      </w:pPr>
      <w:r w:rsidRPr="00591589">
        <w:t xml:space="preserve">Reablement assessors or occupational therapists will carry out the assessment process, which involves measuring the person’s baseline in all aspects of activities of daily living. An assessment </w:t>
      </w:r>
      <w:r w:rsidR="00ED4294">
        <w:t>that</w:t>
      </w:r>
      <w:r w:rsidRPr="00591589">
        <w:t xml:space="preserve"> involves the individual and family or representative where possible</w:t>
      </w:r>
      <w:r w:rsidR="00ED4294">
        <w:t>,</w:t>
      </w:r>
      <w:r w:rsidRPr="00591589">
        <w:t xml:space="preserve"> identifies meaningful functional goals and outcomes are developed with the individual, to promote wellbeing, autonomy, independence and choice. It aims to enable people to be and to do what they have reason to value</w:t>
      </w:r>
      <w:r w:rsidR="00526A9A">
        <w:t>.</w:t>
      </w:r>
    </w:p>
    <w:p w14:paraId="3BF3CEF4" w14:textId="77777777" w:rsidR="00156F55" w:rsidRPr="00156F55" w:rsidRDefault="00156F55" w:rsidP="00526A9A">
      <w:pPr>
        <w:pStyle w:val="WPHeading2"/>
      </w:pPr>
      <w:r w:rsidRPr="00156F55">
        <w:t>Support Plan</w:t>
      </w:r>
    </w:p>
    <w:p w14:paraId="13572A9B" w14:textId="33803CCB" w:rsidR="00156F55" w:rsidRDefault="00156F55" w:rsidP="00526A9A">
      <w:pPr>
        <w:pStyle w:val="WPParagraph"/>
      </w:pPr>
      <w:r w:rsidRPr="00591589">
        <w:t>The support plan will be developed with the person who uses services in the hospital or at home and identifies the outcomes they would like to achieve. Equipment or resources will be put in place as required.</w:t>
      </w:r>
    </w:p>
    <w:p w14:paraId="120A261F" w14:textId="5D17D176" w:rsidR="00156F55" w:rsidRPr="00591589" w:rsidRDefault="00156F55" w:rsidP="00526A9A">
      <w:pPr>
        <w:pStyle w:val="WPParagraph"/>
      </w:pPr>
      <w:r w:rsidRPr="00591589">
        <w:t xml:space="preserve">The support plan including goals and objectives will be reviewed </w:t>
      </w:r>
      <w:r w:rsidR="00ED4294">
        <w:t>regularly</w:t>
      </w:r>
      <w:r w:rsidRPr="00591589">
        <w:t xml:space="preserve"> and revised as necessary</w:t>
      </w:r>
      <w:r w:rsidR="00FA7CA8">
        <w:t xml:space="preserve"> by the </w:t>
      </w:r>
      <w:r w:rsidR="00526A9A">
        <w:t>r</w:t>
      </w:r>
      <w:r w:rsidR="00FA7CA8">
        <w:t>eablement team</w:t>
      </w:r>
      <w:r w:rsidRPr="00591589">
        <w:t xml:space="preserve">. </w:t>
      </w:r>
    </w:p>
    <w:p w14:paraId="2A653460" w14:textId="77777777" w:rsidR="00156F55" w:rsidRPr="00591589" w:rsidRDefault="00156F55" w:rsidP="00526A9A">
      <w:pPr>
        <w:pStyle w:val="WPParagraph"/>
      </w:pPr>
      <w:r w:rsidRPr="00591589">
        <w:t>Support workers will follow the support plan and work daily with the person receiving the reablement service. Their focus is on observing, guiding and encouraging the person who uses services to do things themselves, to rebuild confidence and improve skills that may have been lost. These staff will have additional training to adopt the enablement approach.</w:t>
      </w:r>
    </w:p>
    <w:p w14:paraId="07971ACC" w14:textId="77777777" w:rsidR="00156F55" w:rsidRPr="00591589" w:rsidRDefault="00156F55" w:rsidP="00526A9A">
      <w:pPr>
        <w:pStyle w:val="WPParagraph"/>
      </w:pPr>
      <w:r w:rsidRPr="00591589">
        <w:t>Managing expectations about the reablement experience is an important part of the assessment and planning. Everyone needs to be familiar with the ethos of reablement and its boundaries in terms of its nature and length of support.</w:t>
      </w:r>
    </w:p>
    <w:p w14:paraId="4037B53F" w14:textId="1AABA434" w:rsidR="00526A9A" w:rsidRDefault="00156F55" w:rsidP="00526A9A">
      <w:pPr>
        <w:pStyle w:val="WPParagraph"/>
      </w:pPr>
      <w:r w:rsidRPr="00591589">
        <w:t>As the period of reablement comes to an end, because there can be anxiety regarding managing alone or transferring to a long-term care service it is important that the individual, family and friends have a clear understanding of what is happening next and that they are signposted to local services and organisations for support when required. As an organisation</w:t>
      </w:r>
      <w:r w:rsidR="00ED4294">
        <w:t>,</w:t>
      </w:r>
      <w:r w:rsidRPr="00591589">
        <w:t xml:space="preserve"> we will ensure the individual and families are supported at this time. </w:t>
      </w:r>
    </w:p>
    <w:p w14:paraId="5B69D0A1" w14:textId="57E7890B" w:rsidR="00526A9A" w:rsidRDefault="00B14A79" w:rsidP="00526A9A">
      <w:pPr>
        <w:pStyle w:val="WPHeading"/>
      </w:pPr>
      <w:r w:rsidRPr="002E7BED">
        <w:t>Related Policies</w:t>
      </w:r>
    </w:p>
    <w:p w14:paraId="640DB203" w14:textId="19227EDE" w:rsidR="00156F55" w:rsidRDefault="00156F55" w:rsidP="00526A9A">
      <w:pPr>
        <w:pStyle w:val="WPParagraph"/>
      </w:pPr>
      <w:r>
        <w:t>Assessment of Needs and Eligibility</w:t>
      </w:r>
    </w:p>
    <w:p w14:paraId="7C730670" w14:textId="77777777" w:rsidR="00156F55" w:rsidRDefault="00156F55" w:rsidP="00526A9A">
      <w:pPr>
        <w:pStyle w:val="WPParagraph"/>
      </w:pPr>
      <w:r>
        <w:t>Care and Support Planning</w:t>
      </w:r>
    </w:p>
    <w:p w14:paraId="63CADF5C" w14:textId="77777777" w:rsidR="00156F55" w:rsidRDefault="00156F55" w:rsidP="00526A9A">
      <w:pPr>
        <w:pStyle w:val="WPParagraph"/>
      </w:pPr>
      <w:r>
        <w:t>Co-operating with other Providers</w:t>
      </w:r>
    </w:p>
    <w:p w14:paraId="78E7C32E" w14:textId="77777777" w:rsidR="00156F55" w:rsidRDefault="00156F55" w:rsidP="00526A9A">
      <w:pPr>
        <w:pStyle w:val="WPParagraph"/>
      </w:pPr>
      <w:r>
        <w:t>Dignity and Respect</w:t>
      </w:r>
    </w:p>
    <w:p w14:paraId="6E37B817" w14:textId="77777777" w:rsidR="00156F55" w:rsidRDefault="00156F55" w:rsidP="00526A9A">
      <w:pPr>
        <w:pStyle w:val="WPParagraph"/>
      </w:pPr>
      <w:r>
        <w:t>Meeting Needs</w:t>
      </w:r>
    </w:p>
    <w:p w14:paraId="6A9E3846" w14:textId="77158F56" w:rsidR="00156F55" w:rsidRDefault="00156F55" w:rsidP="00526A9A">
      <w:pPr>
        <w:pStyle w:val="WPParagraph"/>
      </w:pPr>
      <w:r>
        <w:t>Person</w:t>
      </w:r>
      <w:r w:rsidR="00526A9A">
        <w:t>-</w:t>
      </w:r>
      <w:r>
        <w:t>Centred Procedure</w:t>
      </w:r>
    </w:p>
    <w:p w14:paraId="0B45FF86" w14:textId="77777777" w:rsidR="00526A9A" w:rsidRDefault="00156F55" w:rsidP="00526A9A">
      <w:pPr>
        <w:pStyle w:val="WPParagraph"/>
      </w:pPr>
      <w:r>
        <w:t>Risk Assessment</w:t>
      </w:r>
      <w:r w:rsidR="00526A9A">
        <w:t xml:space="preserve">                                                             </w:t>
      </w:r>
      <w:r>
        <w:t xml:space="preserve"> </w:t>
      </w:r>
    </w:p>
    <w:p w14:paraId="60831695" w14:textId="475495F9" w:rsidR="00156F55" w:rsidRDefault="00F14C63" w:rsidP="00526A9A">
      <w:pPr>
        <w:pStyle w:val="WPHeading"/>
      </w:pPr>
      <w:r>
        <w:lastRenderedPageBreak/>
        <w:br/>
      </w:r>
      <w:r w:rsidR="00B14A79" w:rsidRPr="002E7BED">
        <w:t>Related Guidance</w:t>
      </w:r>
      <w:r w:rsidR="00156F55">
        <w:t xml:space="preserve"> </w:t>
      </w:r>
    </w:p>
    <w:p w14:paraId="381FCD39" w14:textId="77777777" w:rsidR="00006451" w:rsidRDefault="00156F55" w:rsidP="00526A9A">
      <w:pPr>
        <w:pStyle w:val="WPParagraph"/>
      </w:pPr>
      <w:r w:rsidRPr="00100DFF">
        <w:t xml:space="preserve">NICE Guideline </w:t>
      </w:r>
      <w:r w:rsidR="00526A9A">
        <w:t>[</w:t>
      </w:r>
      <w:r w:rsidRPr="00100DFF">
        <w:t>NG74</w:t>
      </w:r>
      <w:r w:rsidR="00526A9A">
        <w:t>]</w:t>
      </w:r>
      <w:r w:rsidRPr="00100DFF">
        <w:t xml:space="preserve"> Intermediate Care including Reablement</w:t>
      </w:r>
      <w:r w:rsidR="00526A9A">
        <w:t xml:space="preserve">, </w:t>
      </w:r>
      <w:r>
        <w:t>September 2017</w:t>
      </w:r>
      <w:r w:rsidR="00526A9A">
        <w:t>:</w:t>
      </w:r>
    </w:p>
    <w:p w14:paraId="20063F3A" w14:textId="152C976A" w:rsidR="00156F55" w:rsidRPr="00100DFF" w:rsidRDefault="00000000" w:rsidP="00526A9A">
      <w:pPr>
        <w:pStyle w:val="WPParagraph"/>
      </w:pPr>
      <w:hyperlink r:id="rId13" w:history="1">
        <w:r w:rsidR="00006451" w:rsidRPr="007C75BF">
          <w:rPr>
            <w:rStyle w:val="Hyperlink"/>
          </w:rPr>
          <w:t>https://www.nice.org.uk/guidance/ng74</w:t>
        </w:r>
      </w:hyperlink>
    </w:p>
    <w:p w14:paraId="57A1E72F" w14:textId="77777777" w:rsidR="00006451" w:rsidRDefault="00156F55" w:rsidP="00526A9A">
      <w:pPr>
        <w:pStyle w:val="WPParagraph"/>
      </w:pPr>
      <w:r>
        <w:t xml:space="preserve">NICE </w:t>
      </w:r>
      <w:r w:rsidR="00526A9A">
        <w:t xml:space="preserve">Quality Statement [QS173]: </w:t>
      </w:r>
      <w:r>
        <w:t xml:space="preserve">Intermediate </w:t>
      </w:r>
      <w:r w:rsidR="00526A9A">
        <w:t>C</w:t>
      </w:r>
      <w:r>
        <w:t xml:space="preserve">are including </w:t>
      </w:r>
      <w:r w:rsidR="00526A9A">
        <w:t>R</w:t>
      </w:r>
      <w:r>
        <w:t>eablement</w:t>
      </w:r>
      <w:r w:rsidR="00526A9A">
        <w:t>, A</w:t>
      </w:r>
      <w:r>
        <w:t xml:space="preserve">ugust </w:t>
      </w:r>
      <w:r w:rsidRPr="00100DFF">
        <w:t>2018</w:t>
      </w:r>
      <w:r w:rsidR="00526A9A">
        <w:t>:</w:t>
      </w:r>
    </w:p>
    <w:p w14:paraId="2AB45988" w14:textId="43BEB52E" w:rsidR="00156F55" w:rsidRPr="00100DFF" w:rsidRDefault="00000000" w:rsidP="00526A9A">
      <w:pPr>
        <w:pStyle w:val="WPParagraph"/>
      </w:pPr>
      <w:hyperlink r:id="rId14" w:history="1">
        <w:r w:rsidR="00006451" w:rsidRPr="007C75BF">
          <w:rPr>
            <w:rStyle w:val="Hyperlink"/>
          </w:rPr>
          <w:t>https://www.nice.org.uk/guidance/qs173</w:t>
        </w:r>
      </w:hyperlink>
      <w:r w:rsidR="00156F55" w:rsidRPr="00100DFF">
        <w:t xml:space="preserve"> </w:t>
      </w:r>
    </w:p>
    <w:p w14:paraId="4C2E75A1" w14:textId="130A495A" w:rsidR="0014390D" w:rsidRDefault="00F14C63" w:rsidP="00526A9A">
      <w:pPr>
        <w:pStyle w:val="WPHeading"/>
      </w:pPr>
      <w:bookmarkStart w:id="1" w:name="_Training_Statement"/>
      <w:bookmarkEnd w:id="1"/>
      <w:r>
        <w:br/>
      </w:r>
      <w:r w:rsidR="0014390D" w:rsidRPr="00513C46">
        <w:t>Training Statement</w:t>
      </w:r>
      <w:r w:rsidR="0014390D">
        <w:t xml:space="preserve"> </w:t>
      </w:r>
    </w:p>
    <w:p w14:paraId="39DDE480" w14:textId="7AFD064C" w:rsidR="00526A9A" w:rsidRDefault="00526A9A" w:rsidP="00526A9A">
      <w:pPr>
        <w:pStyle w:val="Paragraph"/>
        <w:jc w:val="left"/>
        <w:rPr>
          <w:rFonts w:eastAsia="HGGothicM"/>
          <w:b/>
        </w:rPr>
      </w:pPr>
      <w:bookmarkStart w:id="2" w:name="_Hlk529282654"/>
      <w:bookmarkStart w:id="3" w:name="_Hlk53512270"/>
      <w:bookmarkStart w:id="4" w:name="_Hlk527038464"/>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individual supervisions</w:t>
      </w:r>
      <w:r>
        <w:rPr>
          <w:rFonts w:eastAsia="HGGothicM"/>
        </w:rPr>
        <w:t xml:space="preserve">. </w:t>
      </w:r>
      <w:bookmarkEnd w:id="2"/>
      <w:bookmarkEnd w:id="3"/>
    </w:p>
    <w:p w14:paraId="0FDB30EC" w14:textId="32D661E3" w:rsidR="00526A9A" w:rsidRDefault="00526A9A" w:rsidP="00526A9A">
      <w:pPr>
        <w:pStyle w:val="Paragraph"/>
        <w:jc w:val="left"/>
        <w:rPr>
          <w:rFonts w:eastAsia="HGGothicM"/>
          <w:b/>
        </w:rPr>
      </w:pPr>
    </w:p>
    <w:p w14:paraId="5BB392C0" w14:textId="21AB775B" w:rsidR="00E94F7B" w:rsidRDefault="00C32AD5" w:rsidP="00E94F7B">
      <w:pPr>
        <w:pStyle w:val="WPParagraph"/>
      </w:pPr>
      <w:r>
        <w:t>Date Reviewed: May 2023</w:t>
      </w:r>
    </w:p>
    <w:p w14:paraId="1311A5EC" w14:textId="0AC3F635" w:rsidR="00E94F7B" w:rsidRDefault="00E94F7B" w:rsidP="00E94F7B">
      <w:pPr>
        <w:pStyle w:val="WPParagraph"/>
      </w:pPr>
      <w:r>
        <w:t xml:space="preserve">Person responsible for updating this policy: </w:t>
      </w:r>
      <w:r w:rsidR="00385044">
        <w:rPr>
          <w:b/>
          <w:bCs/>
        </w:rPr>
        <w:t>IFEYINWA ODOEMENAM</w:t>
      </w:r>
    </w:p>
    <w:p w14:paraId="65760666" w14:textId="2BC128A4" w:rsidR="00E94F7B" w:rsidRPr="00E94F7B" w:rsidRDefault="00C32AD5" w:rsidP="00E94F7B">
      <w:pPr>
        <w:pStyle w:val="WPParagraph"/>
      </w:pPr>
      <w:r>
        <w:t>Next Review Date: May 2024</w:t>
      </w:r>
    </w:p>
    <w:p w14:paraId="682D2B9E" w14:textId="77777777" w:rsidR="00E94F7B" w:rsidRDefault="00E94F7B" w:rsidP="00526A9A">
      <w:pPr>
        <w:pStyle w:val="Paragraph"/>
        <w:jc w:val="left"/>
        <w:rPr>
          <w:rFonts w:eastAsia="HGGothicM"/>
          <w:b/>
        </w:rPr>
      </w:pPr>
    </w:p>
    <w:bookmarkEnd w:id="0"/>
    <w:bookmarkEnd w:id="4"/>
    <w:p w14:paraId="5CC23AE6" w14:textId="48CF12C3" w:rsidR="00B7150E" w:rsidRPr="00526A9A" w:rsidRDefault="00B7150E" w:rsidP="00526A9A">
      <w:pPr>
        <w:pStyle w:val="Paragraph"/>
        <w:jc w:val="left"/>
        <w:rPr>
          <w:rFonts w:eastAsia="HGGothicM"/>
          <w:b/>
        </w:rPr>
      </w:pPr>
    </w:p>
    <w:sectPr w:rsidR="00B7150E" w:rsidRPr="00526A9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72EC" w14:textId="77777777" w:rsidR="00F60C6B" w:rsidRDefault="00F60C6B" w:rsidP="00815DED">
      <w:pPr>
        <w:spacing w:after="0" w:line="240" w:lineRule="auto"/>
      </w:pPr>
      <w:r>
        <w:separator/>
      </w:r>
    </w:p>
  </w:endnote>
  <w:endnote w:type="continuationSeparator" w:id="0">
    <w:p w14:paraId="1128BBB2" w14:textId="77777777" w:rsidR="00F60C6B" w:rsidRDefault="00F60C6B"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17AB" w14:textId="77777777" w:rsidR="00602DA9" w:rsidRDefault="00602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8442" w14:textId="77777777" w:rsidR="00602DA9" w:rsidRDefault="00602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43E8" w14:textId="77777777" w:rsidR="00602DA9" w:rsidRDefault="00602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2FD19" w14:textId="77777777" w:rsidR="00F60C6B" w:rsidRDefault="00F60C6B" w:rsidP="00815DED">
      <w:pPr>
        <w:spacing w:after="0" w:line="240" w:lineRule="auto"/>
      </w:pPr>
      <w:r>
        <w:separator/>
      </w:r>
    </w:p>
  </w:footnote>
  <w:footnote w:type="continuationSeparator" w:id="0">
    <w:p w14:paraId="18102C7B" w14:textId="77777777" w:rsidR="00F60C6B" w:rsidRDefault="00F60C6B"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90B9" w14:textId="77777777" w:rsidR="00602DA9" w:rsidRDefault="00602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5E7D" w14:textId="77777777" w:rsidR="00602DA9" w:rsidRDefault="00602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94CF" w14:textId="77777777" w:rsidR="00602DA9" w:rsidRDefault="00602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CF6"/>
    <w:multiLevelType w:val="hybridMultilevel"/>
    <w:tmpl w:val="0DF83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03E5A5E"/>
    <w:multiLevelType w:val="hybridMultilevel"/>
    <w:tmpl w:val="298A0B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A1163"/>
    <w:multiLevelType w:val="hybridMultilevel"/>
    <w:tmpl w:val="5DDE7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E63B34"/>
    <w:multiLevelType w:val="hybridMultilevel"/>
    <w:tmpl w:val="099AA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60444F0D"/>
    <w:multiLevelType w:val="hybridMultilevel"/>
    <w:tmpl w:val="C892F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B6038C"/>
    <w:multiLevelType w:val="hybridMultilevel"/>
    <w:tmpl w:val="E10E7206"/>
    <w:lvl w:ilvl="0" w:tplc="E7A080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D1B0F"/>
    <w:multiLevelType w:val="hybridMultilevel"/>
    <w:tmpl w:val="F55A07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71A2E67"/>
    <w:multiLevelType w:val="hybridMultilevel"/>
    <w:tmpl w:val="A9BCF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C250D1C"/>
    <w:multiLevelType w:val="hybridMultilevel"/>
    <w:tmpl w:val="32741A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583074"/>
    <w:multiLevelType w:val="hybridMultilevel"/>
    <w:tmpl w:val="90FCC062"/>
    <w:lvl w:ilvl="0" w:tplc="E272B1A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7E029D5"/>
    <w:multiLevelType w:val="hybridMultilevel"/>
    <w:tmpl w:val="5E068D36"/>
    <w:lvl w:ilvl="0" w:tplc="E272B1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603878">
    <w:abstractNumId w:val="2"/>
  </w:num>
  <w:num w:numId="2" w16cid:durableId="966206330">
    <w:abstractNumId w:val="12"/>
  </w:num>
  <w:num w:numId="3" w16cid:durableId="1556742272">
    <w:abstractNumId w:val="11"/>
  </w:num>
  <w:num w:numId="4" w16cid:durableId="1575554024">
    <w:abstractNumId w:val="5"/>
  </w:num>
  <w:num w:numId="5" w16cid:durableId="1313828964">
    <w:abstractNumId w:val="6"/>
  </w:num>
  <w:num w:numId="6" w16cid:durableId="1121340776">
    <w:abstractNumId w:val="4"/>
  </w:num>
  <w:num w:numId="7" w16cid:durableId="1927031514">
    <w:abstractNumId w:val="10"/>
  </w:num>
  <w:num w:numId="8" w16cid:durableId="51586887">
    <w:abstractNumId w:val="8"/>
  </w:num>
  <w:num w:numId="9" w16cid:durableId="706443122">
    <w:abstractNumId w:val="0"/>
  </w:num>
  <w:num w:numId="10" w16cid:durableId="1837377086">
    <w:abstractNumId w:val="1"/>
  </w:num>
  <w:num w:numId="11" w16cid:durableId="1168598088">
    <w:abstractNumId w:val="9"/>
  </w:num>
  <w:num w:numId="12" w16cid:durableId="489175659">
    <w:abstractNumId w:val="7"/>
  </w:num>
  <w:num w:numId="13" w16cid:durableId="508837800">
    <w:abstractNumId w:val="3"/>
  </w:num>
  <w:num w:numId="14" w16cid:durableId="63210140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NDM2MDExtbQwMjZV0lEKTi0uzszPAykwrAUAtT6DwCwAAAA="/>
  </w:docVars>
  <w:rsids>
    <w:rsidRoot w:val="00B14A79"/>
    <w:rsid w:val="00006451"/>
    <w:rsid w:val="00044FA8"/>
    <w:rsid w:val="000741CE"/>
    <w:rsid w:val="000912FA"/>
    <w:rsid w:val="000A061A"/>
    <w:rsid w:val="000A78A2"/>
    <w:rsid w:val="000B33A7"/>
    <w:rsid w:val="000B62E7"/>
    <w:rsid w:val="00107F3C"/>
    <w:rsid w:val="0012003A"/>
    <w:rsid w:val="001306FA"/>
    <w:rsid w:val="00130784"/>
    <w:rsid w:val="001400F3"/>
    <w:rsid w:val="0014390D"/>
    <w:rsid w:val="0015618E"/>
    <w:rsid w:val="00156F55"/>
    <w:rsid w:val="00171F21"/>
    <w:rsid w:val="0017673F"/>
    <w:rsid w:val="001A77C9"/>
    <w:rsid w:val="001C2CEF"/>
    <w:rsid w:val="001C4E2E"/>
    <w:rsid w:val="001F10B8"/>
    <w:rsid w:val="001F6BE2"/>
    <w:rsid w:val="0020163F"/>
    <w:rsid w:val="00213EAC"/>
    <w:rsid w:val="00220017"/>
    <w:rsid w:val="0023341D"/>
    <w:rsid w:val="0028436C"/>
    <w:rsid w:val="002A4C29"/>
    <w:rsid w:val="002B3B32"/>
    <w:rsid w:val="002B3DB3"/>
    <w:rsid w:val="002C0981"/>
    <w:rsid w:val="002C411D"/>
    <w:rsid w:val="002D1A16"/>
    <w:rsid w:val="002E7B36"/>
    <w:rsid w:val="002E7BED"/>
    <w:rsid w:val="00307FD1"/>
    <w:rsid w:val="003613E9"/>
    <w:rsid w:val="00367A62"/>
    <w:rsid w:val="00384C73"/>
    <w:rsid w:val="00385044"/>
    <w:rsid w:val="003914D3"/>
    <w:rsid w:val="003C26D4"/>
    <w:rsid w:val="003D4883"/>
    <w:rsid w:val="00410DEF"/>
    <w:rsid w:val="00460527"/>
    <w:rsid w:val="004751AF"/>
    <w:rsid w:val="004B0BB2"/>
    <w:rsid w:val="004D6BBE"/>
    <w:rsid w:val="004E2DAA"/>
    <w:rsid w:val="0050013C"/>
    <w:rsid w:val="00513C46"/>
    <w:rsid w:val="00514D6C"/>
    <w:rsid w:val="00521C98"/>
    <w:rsid w:val="00526A9A"/>
    <w:rsid w:val="0058142B"/>
    <w:rsid w:val="005D75B8"/>
    <w:rsid w:val="00602DA9"/>
    <w:rsid w:val="00604F85"/>
    <w:rsid w:val="00681B58"/>
    <w:rsid w:val="007432F7"/>
    <w:rsid w:val="007444D4"/>
    <w:rsid w:val="00750926"/>
    <w:rsid w:val="00795779"/>
    <w:rsid w:val="00797737"/>
    <w:rsid w:val="007D0C83"/>
    <w:rsid w:val="007E24D0"/>
    <w:rsid w:val="007E2C3A"/>
    <w:rsid w:val="007F69DB"/>
    <w:rsid w:val="00815DED"/>
    <w:rsid w:val="008243B2"/>
    <w:rsid w:val="008304D2"/>
    <w:rsid w:val="0083060A"/>
    <w:rsid w:val="0083495E"/>
    <w:rsid w:val="00837102"/>
    <w:rsid w:val="008657B1"/>
    <w:rsid w:val="008710FF"/>
    <w:rsid w:val="008A40E8"/>
    <w:rsid w:val="008B09F5"/>
    <w:rsid w:val="008E139C"/>
    <w:rsid w:val="008F5B0A"/>
    <w:rsid w:val="00914B95"/>
    <w:rsid w:val="009236E8"/>
    <w:rsid w:val="009254DA"/>
    <w:rsid w:val="00954464"/>
    <w:rsid w:val="00962E1E"/>
    <w:rsid w:val="0098221D"/>
    <w:rsid w:val="009B5514"/>
    <w:rsid w:val="009B5C12"/>
    <w:rsid w:val="009E26CB"/>
    <w:rsid w:val="00A3105C"/>
    <w:rsid w:val="00A5173D"/>
    <w:rsid w:val="00A57EE6"/>
    <w:rsid w:val="00A61A71"/>
    <w:rsid w:val="00A65DEB"/>
    <w:rsid w:val="00A70EB8"/>
    <w:rsid w:val="00A83F4E"/>
    <w:rsid w:val="00A9522B"/>
    <w:rsid w:val="00AE0D8F"/>
    <w:rsid w:val="00AF589E"/>
    <w:rsid w:val="00B00A75"/>
    <w:rsid w:val="00B017F7"/>
    <w:rsid w:val="00B026A1"/>
    <w:rsid w:val="00B1098C"/>
    <w:rsid w:val="00B1231C"/>
    <w:rsid w:val="00B14A79"/>
    <w:rsid w:val="00B35C76"/>
    <w:rsid w:val="00B37497"/>
    <w:rsid w:val="00B7150E"/>
    <w:rsid w:val="00B758F6"/>
    <w:rsid w:val="00B95E1D"/>
    <w:rsid w:val="00C059EF"/>
    <w:rsid w:val="00C25DB5"/>
    <w:rsid w:val="00C32AD5"/>
    <w:rsid w:val="00C755EA"/>
    <w:rsid w:val="00C91538"/>
    <w:rsid w:val="00C946A3"/>
    <w:rsid w:val="00CC38D5"/>
    <w:rsid w:val="00D04624"/>
    <w:rsid w:val="00D07B83"/>
    <w:rsid w:val="00D3410A"/>
    <w:rsid w:val="00D36BEE"/>
    <w:rsid w:val="00D550D9"/>
    <w:rsid w:val="00D76D31"/>
    <w:rsid w:val="00D82B0A"/>
    <w:rsid w:val="00D846AE"/>
    <w:rsid w:val="00DE2DF1"/>
    <w:rsid w:val="00DF10A2"/>
    <w:rsid w:val="00E1155C"/>
    <w:rsid w:val="00E16EA0"/>
    <w:rsid w:val="00E370B6"/>
    <w:rsid w:val="00E44056"/>
    <w:rsid w:val="00E64EED"/>
    <w:rsid w:val="00E80ADC"/>
    <w:rsid w:val="00E87E1C"/>
    <w:rsid w:val="00E94F7B"/>
    <w:rsid w:val="00ED38AA"/>
    <w:rsid w:val="00ED4294"/>
    <w:rsid w:val="00EE10DC"/>
    <w:rsid w:val="00F14C63"/>
    <w:rsid w:val="00F37840"/>
    <w:rsid w:val="00F43460"/>
    <w:rsid w:val="00F50902"/>
    <w:rsid w:val="00F5716D"/>
    <w:rsid w:val="00F57767"/>
    <w:rsid w:val="00F60C6B"/>
    <w:rsid w:val="00F90B89"/>
    <w:rsid w:val="00F92E3B"/>
    <w:rsid w:val="00FA7CA8"/>
    <w:rsid w:val="00FD4139"/>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WPBullet">
    <w:name w:val="W&amp;P Bullet"/>
    <w:basedOn w:val="Normal"/>
    <w:qFormat/>
    <w:rsid w:val="00526A9A"/>
    <w:pPr>
      <w:numPr>
        <w:numId w:val="14"/>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526A9A"/>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526A9A"/>
    <w:rPr>
      <w:color w:val="auto"/>
    </w:rPr>
  </w:style>
  <w:style w:type="paragraph" w:customStyle="1" w:styleId="WPHeading3">
    <w:name w:val="W&amp;P Heading 3"/>
    <w:basedOn w:val="WPHeading2"/>
    <w:qFormat/>
    <w:rsid w:val="00526A9A"/>
    <w:rPr>
      <w:i/>
    </w:rPr>
  </w:style>
  <w:style w:type="paragraph" w:customStyle="1" w:styleId="WPParagraph">
    <w:name w:val="W&amp;P Paragraph"/>
    <w:basedOn w:val="Normal"/>
    <w:qFormat/>
    <w:rsid w:val="00526A9A"/>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526A9A"/>
    <w:pPr>
      <w:spacing w:before="120" w:line="23" w:lineRule="atLeast"/>
      <w:jc w:val="both"/>
    </w:pPr>
    <w:rPr>
      <w:rFonts w:ascii="Arial" w:eastAsia="Times New Roman" w:hAnsi="Arial" w:cs="Arial"/>
      <w:noProof/>
      <w:sz w:val="24"/>
      <w:szCs w:val="24"/>
      <w:lang w:val="en-GB" w:eastAsia="sk-SK"/>
    </w:rPr>
  </w:style>
  <w:style w:type="paragraph" w:styleId="BalloonText">
    <w:name w:val="Balloon Text"/>
    <w:basedOn w:val="Normal"/>
    <w:link w:val="BalloonTextChar"/>
    <w:uiPriority w:val="99"/>
    <w:semiHidden/>
    <w:unhideWhenUsed/>
    <w:rsid w:val="00681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B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287">
      <w:bodyDiv w:val="1"/>
      <w:marLeft w:val="0"/>
      <w:marRight w:val="0"/>
      <w:marTop w:val="0"/>
      <w:marBottom w:val="0"/>
      <w:divBdr>
        <w:top w:val="none" w:sz="0" w:space="0" w:color="auto"/>
        <w:left w:val="none" w:sz="0" w:space="0" w:color="auto"/>
        <w:bottom w:val="none" w:sz="0" w:space="0" w:color="auto"/>
        <w:right w:val="none" w:sz="0" w:space="0" w:color="auto"/>
      </w:divBdr>
    </w:div>
    <w:div w:id="54089736">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DKHXZA7SSHQN-167323429-701334</_dlc_DocId>
    <_dlc_DocIdUrl xmlns="9daa91de-cd2d-4d57-bbd1-50f17b14a644">
      <Url>https://wandpassessment.sharepoint.com/sites/Data/_layouts/15/DocIdRedir.aspx?ID=DKHXZA7SSHQN-167323429-701334</Url>
      <Description>DKHXZA7SSHQN-167323429-701334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AA43BB-86D1-4C07-9F85-1A6370A97F87}">
  <ds:schemaRefs>
    <ds:schemaRef ds:uri="http://schemas.microsoft.com/sharepoint/v3/contenttype/forms"/>
  </ds:schemaRefs>
</ds:datastoreItem>
</file>

<file path=customXml/itemProps2.xml><?xml version="1.0" encoding="utf-8"?>
<ds:datastoreItem xmlns:ds="http://schemas.openxmlformats.org/officeDocument/2006/customXml" ds:itemID="{0F4A9D03-FE10-42DB-901E-FA142F124A81}">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362FDD64-F2B4-4C5B-B0CB-524848C5282B}">
  <ds:schemaRefs>
    <ds:schemaRef ds:uri="http://schemas.openxmlformats.org/officeDocument/2006/bibliography"/>
  </ds:schemaRefs>
</ds:datastoreItem>
</file>

<file path=customXml/itemProps4.xml><?xml version="1.0" encoding="utf-8"?>
<ds:datastoreItem xmlns:ds="http://schemas.openxmlformats.org/officeDocument/2006/customXml" ds:itemID="{C6DFEA0E-7A18-44CB-A41D-165FDFFFA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CD10A4-CB67-4522-974B-3F27024FE1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2023-07-26T09:26:00Z</dcterms:created>
  <dcterms:modified xsi:type="dcterms:W3CDTF">2023-07-26T09:26:00Z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5577400</vt:r8>
  </property>
  <property fmtid="{D5CDD505-2E9C-101B-9397-08002B2CF9AE}" pid="4" name="_dlc_DocIdItemGuid">
    <vt:lpwstr>5ff22ebb-9f04-4a3c-b0ab-5d9e084e5ba6</vt:lpwstr>
  </property>
  <property fmtid="{D5CDD505-2E9C-101B-9397-08002B2CF9AE}" pid="5" name="MediaServiceImageTags">
    <vt:lpwstr/>
  </property>
</Properties>
</file>